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sz w:val="48"/>
          <w:szCs w:val="48"/>
          <w:lang w:eastAsia="zh-CN"/>
        </w:rPr>
      </w:pPr>
      <w:r>
        <w:rPr>
          <w:rFonts w:hint="eastAsia"/>
          <w:sz w:val="48"/>
          <w:szCs w:val="48"/>
          <w:lang w:eastAsia="zh-CN"/>
        </w:rPr>
        <w:t>湖南津市毛里湖湿地公园管理处</w:t>
      </w:r>
    </w:p>
    <w:p>
      <w:pPr>
        <w:pStyle w:val="10"/>
        <w:jc w:val="center"/>
        <w:rPr>
          <w:sz w:val="48"/>
          <w:szCs w:val="48"/>
        </w:rPr>
      </w:pPr>
      <w:r>
        <w:rPr>
          <w:rFonts w:hint="eastAsia"/>
          <w:sz w:val="48"/>
          <w:szCs w:val="48"/>
        </w:rPr>
        <w:t>2019年度单位部门决算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both"/>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湖南津市毛里湖湿地公园管理处</w:t>
      </w:r>
      <w:r>
        <w:rPr>
          <w:rFonts w:hint="eastAsia"/>
          <w:b/>
          <w:sz w:val="28"/>
          <w:szCs w:val="28"/>
        </w:rPr>
        <w:t>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pStyle w:val="10"/>
        <w:jc w:val="center"/>
        <w:rPr>
          <w:sz w:val="84"/>
          <w:szCs w:val="84"/>
        </w:rPr>
      </w:pPr>
      <w:r>
        <w:rPr>
          <w:rFonts w:hint="eastAsia"/>
          <w:sz w:val="84"/>
          <w:szCs w:val="84"/>
        </w:rPr>
        <w:t>第一部分</w:t>
      </w:r>
      <w:r>
        <w:rPr>
          <w:sz w:val="84"/>
          <w:szCs w:val="84"/>
        </w:rPr>
        <w:t xml:space="preserve"> </w:t>
      </w:r>
    </w:p>
    <w:p>
      <w:pPr>
        <w:pStyle w:val="10"/>
        <w:jc w:val="center"/>
        <w:rPr>
          <w:rFonts w:hint="eastAsia"/>
          <w:sz w:val="48"/>
          <w:szCs w:val="48"/>
          <w:lang w:eastAsia="zh-CN"/>
        </w:rPr>
      </w:pPr>
      <w:r>
        <w:rPr>
          <w:rFonts w:hint="eastAsia"/>
          <w:sz w:val="48"/>
          <w:szCs w:val="48"/>
          <w:lang w:eastAsia="zh-CN"/>
        </w:rPr>
        <w:t>湖南津市毛里湖国家湿地公园管理处</w:t>
      </w:r>
    </w:p>
    <w:p>
      <w:pPr>
        <w:pStyle w:val="10"/>
        <w:jc w:val="center"/>
        <w:rPr>
          <w:sz w:val="48"/>
          <w:szCs w:val="48"/>
        </w:rPr>
      </w:pPr>
      <w:r>
        <w:rPr>
          <w:rFonts w:hint="eastAsia"/>
          <w:sz w:val="48"/>
          <w:szCs w:val="48"/>
        </w:rPr>
        <w:t>单位概况</w:t>
      </w: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仿宋_GB2312" w:eastAsia="仿宋_GB2312" w:hAnsiTheme="minorEastAsia"/>
          <w:sz w:val="28"/>
          <w:szCs w:val="32"/>
        </w:rPr>
      </w:pPr>
      <w:r>
        <w:rPr>
          <w:rFonts w:hint="eastAsia" w:ascii="仿宋" w:hAnsi="仿宋" w:eastAsia="仿宋"/>
          <w:sz w:val="32"/>
          <w:szCs w:val="32"/>
          <w:lang w:eastAsia="zh-CN"/>
        </w:rPr>
        <w:t>湖南毛里湖国家</w:t>
      </w:r>
      <w:r>
        <w:rPr>
          <w:rFonts w:hint="eastAsia" w:ascii="仿宋" w:hAnsi="仿宋" w:eastAsia="仿宋"/>
          <w:sz w:val="32"/>
          <w:szCs w:val="32"/>
        </w:rPr>
        <w:t>湿地公园</w:t>
      </w:r>
      <w:r>
        <w:rPr>
          <w:rFonts w:hint="eastAsia" w:ascii="仿宋" w:hAnsi="仿宋" w:eastAsia="仿宋"/>
          <w:sz w:val="32"/>
          <w:szCs w:val="32"/>
          <w:lang w:eastAsia="zh-CN"/>
        </w:rPr>
        <w:t>管理处</w:t>
      </w:r>
      <w:r>
        <w:rPr>
          <w:rFonts w:hint="eastAsia" w:ascii="仿宋" w:hAnsi="仿宋" w:eastAsia="仿宋"/>
          <w:sz w:val="32"/>
          <w:szCs w:val="32"/>
        </w:rPr>
        <w:t>为林业局管理的正科级事业单位，贯彻落实上级湿地保护相关工作，负责湿地公园规划，协调相关部门落实湿地公园建设、管理工作。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widowControl/>
        <w:spacing w:beforeAutospacing="0" w:afterAutospacing="0" w:line="600" w:lineRule="exact"/>
        <w:ind w:firstLine="640" w:firstLineChars="200"/>
        <w:jc w:val="both"/>
        <w:rPr>
          <w:rFonts w:hint="eastAsia" w:ascii="仿宋_GB2312" w:eastAsia="仿宋_GB2312"/>
          <w:sz w:val="32"/>
          <w:szCs w:val="32"/>
        </w:rPr>
      </w:pPr>
      <w:r>
        <w:rPr>
          <w:rFonts w:hint="eastAsia" w:asciiTheme="minorEastAsia" w:hAnsiTheme="minorEastAsia"/>
          <w:bCs/>
          <w:kern w:val="0"/>
          <w:sz w:val="32"/>
          <w:szCs w:val="32"/>
        </w:rPr>
        <w:t>（一）内设机构设置。</w:t>
      </w:r>
      <w:r>
        <w:rPr>
          <w:rFonts w:hint="eastAsia" w:ascii="仿宋_GB2312" w:hAnsi="新宋体" w:eastAsia="仿宋_GB2312"/>
          <w:sz w:val="32"/>
          <w:szCs w:val="32"/>
        </w:rPr>
        <w:t>我</w:t>
      </w:r>
      <w:r>
        <w:rPr>
          <w:rFonts w:hint="eastAsia" w:ascii="仿宋_GB2312" w:hAnsi="新宋体" w:eastAsia="仿宋_GB2312"/>
          <w:sz w:val="32"/>
          <w:szCs w:val="32"/>
          <w:lang w:eastAsia="zh-CN"/>
        </w:rPr>
        <w:t>管理处</w:t>
      </w:r>
      <w:r>
        <w:rPr>
          <w:rFonts w:hint="eastAsia" w:ascii="仿宋_GB2312" w:hAnsi="新宋体" w:eastAsia="仿宋_GB2312"/>
          <w:sz w:val="32"/>
          <w:szCs w:val="32"/>
        </w:rPr>
        <w:t>是一个具有行政管理职能的财政全额预算拨款事业单位，现有全额拨款事业编制1</w:t>
      </w:r>
      <w:r>
        <w:rPr>
          <w:rFonts w:hint="eastAsia" w:ascii="仿宋_GB2312" w:hAnsi="新宋体" w:eastAsia="仿宋_GB2312"/>
          <w:sz w:val="32"/>
          <w:szCs w:val="32"/>
          <w:lang w:val="en-US" w:eastAsia="zh-CN"/>
        </w:rPr>
        <w:t>2</w:t>
      </w:r>
      <w:r>
        <w:rPr>
          <w:rFonts w:hint="eastAsia" w:ascii="仿宋_GB2312" w:hAnsi="新宋体" w:eastAsia="仿宋_GB2312"/>
          <w:sz w:val="32"/>
          <w:szCs w:val="32"/>
        </w:rPr>
        <w:t>人，实有在</w:t>
      </w:r>
      <w:r>
        <w:rPr>
          <w:rFonts w:hint="eastAsia" w:ascii="仿宋_GB2312" w:hAnsi="新宋体" w:eastAsia="仿宋_GB2312"/>
          <w:sz w:val="32"/>
          <w:szCs w:val="32"/>
          <w:lang w:eastAsia="zh-CN"/>
        </w:rPr>
        <w:t>编人员</w:t>
      </w:r>
      <w:r>
        <w:rPr>
          <w:rFonts w:hint="eastAsia" w:ascii="仿宋_GB2312" w:hAnsi="新宋体" w:eastAsia="仿宋_GB2312"/>
          <w:sz w:val="32"/>
          <w:szCs w:val="32"/>
          <w:lang w:val="en-US" w:eastAsia="zh-CN"/>
        </w:rPr>
        <w:t>10</w:t>
      </w:r>
      <w:r>
        <w:rPr>
          <w:rFonts w:hint="eastAsia" w:ascii="仿宋_GB2312" w:hAnsi="新宋体" w:eastAsia="仿宋_GB2312"/>
          <w:sz w:val="32"/>
          <w:szCs w:val="32"/>
        </w:rPr>
        <w:t>人。</w:t>
      </w:r>
      <w:r>
        <w:rPr>
          <w:rFonts w:ascii="仿宋_GB2312" w:hAnsi="Arial" w:eastAsia="仿宋_GB2312" w:cs="仿宋_GB2312"/>
          <w:sz w:val="32"/>
          <w:szCs w:val="32"/>
          <w:shd w:val="clear" w:color="auto" w:fill="F6F6F6"/>
        </w:rPr>
        <w:t>根据编委核定，我</w:t>
      </w:r>
      <w:r>
        <w:rPr>
          <w:rFonts w:hint="eastAsia" w:ascii="仿宋_GB2312" w:hAnsi="Arial" w:eastAsia="仿宋_GB2312" w:cs="仿宋_GB2312"/>
          <w:sz w:val="32"/>
          <w:szCs w:val="32"/>
          <w:shd w:val="clear" w:color="auto" w:fill="F6F6F6"/>
        </w:rPr>
        <w:t>单位</w:t>
      </w:r>
      <w:r>
        <w:rPr>
          <w:rFonts w:ascii="仿宋_GB2312" w:hAnsi="Arial" w:eastAsia="仿宋_GB2312" w:cs="仿宋_GB2312"/>
          <w:sz w:val="32"/>
          <w:szCs w:val="32"/>
          <w:shd w:val="clear" w:color="auto" w:fill="F6F6F6"/>
        </w:rPr>
        <w:t>内设</w:t>
      </w:r>
      <w:r>
        <w:rPr>
          <w:rFonts w:hint="eastAsia" w:ascii="仿宋_GB2312" w:hAnsi="Arial" w:eastAsia="仿宋_GB2312" w:cs="仿宋_GB2312"/>
          <w:sz w:val="32"/>
          <w:szCs w:val="32"/>
          <w:shd w:val="clear" w:color="auto" w:fill="F6F6F6"/>
        </w:rPr>
        <w:t>科</w:t>
      </w:r>
      <w:r>
        <w:rPr>
          <w:rFonts w:ascii="仿宋_GB2312" w:hAnsi="Arial" w:eastAsia="仿宋_GB2312" w:cs="仿宋_GB2312"/>
          <w:sz w:val="32"/>
          <w:szCs w:val="32"/>
          <w:shd w:val="clear" w:color="auto" w:fill="F6F6F6"/>
        </w:rPr>
        <w:t>室</w:t>
      </w:r>
      <w:r>
        <w:rPr>
          <w:rFonts w:hint="eastAsia" w:ascii="仿宋_GB2312" w:hAnsi="Arial" w:eastAsia="仿宋_GB2312" w:cs="仿宋_GB2312"/>
          <w:sz w:val="32"/>
          <w:szCs w:val="32"/>
          <w:shd w:val="clear" w:color="auto" w:fill="F6F6F6"/>
          <w:lang w:val="en-US" w:eastAsia="zh-CN"/>
        </w:rPr>
        <w:t>4</w:t>
      </w:r>
      <w:r>
        <w:rPr>
          <w:rFonts w:ascii="仿宋_GB2312" w:hAnsi="Arial" w:eastAsia="仿宋_GB2312" w:cs="仿宋_GB2312"/>
          <w:sz w:val="32"/>
          <w:szCs w:val="32"/>
          <w:shd w:val="clear" w:color="auto" w:fill="F6F6F6"/>
        </w:rPr>
        <w:t>个，所属事业单位</w:t>
      </w:r>
      <w:r>
        <w:rPr>
          <w:rFonts w:hint="eastAsia" w:ascii="仿宋_GB2312" w:hAnsi="Arial" w:eastAsia="仿宋_GB2312" w:cs="仿宋_GB2312"/>
          <w:sz w:val="32"/>
          <w:szCs w:val="32"/>
          <w:shd w:val="clear" w:color="auto" w:fill="F6F6F6"/>
          <w:lang w:val="en-US" w:eastAsia="zh-CN"/>
        </w:rPr>
        <w:t>1</w:t>
      </w:r>
      <w:r>
        <w:rPr>
          <w:rFonts w:ascii="仿宋_GB2312" w:hAnsi="Arial" w:eastAsia="仿宋_GB2312" w:cs="仿宋_GB2312"/>
          <w:sz w:val="32"/>
          <w:szCs w:val="32"/>
          <w:shd w:val="clear" w:color="auto" w:fill="F6F6F6"/>
        </w:rPr>
        <w:t>个，全部纳入</w:t>
      </w:r>
      <w:r>
        <w:rPr>
          <w:rFonts w:ascii="Times New Roman" w:hAnsi="Times New Roman"/>
          <w:sz w:val="32"/>
          <w:szCs w:val="32"/>
          <w:shd w:val="clear" w:color="auto" w:fill="F6F6F6"/>
        </w:rPr>
        <w:t>201</w:t>
      </w:r>
      <w:r>
        <w:rPr>
          <w:rFonts w:hint="eastAsia" w:ascii="Times New Roman" w:hAnsi="Times New Roman"/>
          <w:sz w:val="32"/>
          <w:szCs w:val="32"/>
          <w:shd w:val="clear" w:color="auto" w:fill="F6F6F6"/>
          <w:lang w:val="en-US" w:eastAsia="zh-CN"/>
        </w:rPr>
        <w:t>8</w:t>
      </w:r>
      <w:r>
        <w:rPr>
          <w:rFonts w:ascii="仿宋_GB2312" w:hAnsi="Arial" w:eastAsia="仿宋_GB2312" w:cs="仿宋_GB2312"/>
          <w:sz w:val="32"/>
          <w:szCs w:val="32"/>
          <w:shd w:val="clear" w:color="auto" w:fill="F6F6F6"/>
        </w:rPr>
        <w:t>年部门预算编制范围。内设</w:t>
      </w:r>
      <w:r>
        <w:rPr>
          <w:rFonts w:hint="eastAsia" w:ascii="仿宋_GB2312" w:hAnsi="Arial" w:eastAsia="仿宋_GB2312" w:cs="仿宋_GB2312"/>
          <w:sz w:val="32"/>
          <w:szCs w:val="32"/>
          <w:shd w:val="clear" w:color="auto" w:fill="F6F6F6"/>
        </w:rPr>
        <w:t>科室</w:t>
      </w:r>
      <w:r>
        <w:rPr>
          <w:rFonts w:ascii="仿宋_GB2312" w:hAnsi="Arial" w:eastAsia="仿宋_GB2312" w:cs="仿宋_GB2312"/>
          <w:sz w:val="32"/>
          <w:szCs w:val="32"/>
          <w:shd w:val="clear" w:color="auto" w:fill="F6F6F6"/>
        </w:rPr>
        <w:t>室分别是</w:t>
      </w:r>
      <w:r>
        <w:rPr>
          <w:rFonts w:hint="eastAsia" w:ascii="仿宋_GB2312" w:hAnsi="Arial" w:eastAsia="仿宋_GB2312" w:cs="仿宋_GB2312"/>
          <w:sz w:val="32"/>
          <w:szCs w:val="32"/>
          <w:shd w:val="clear" w:color="auto" w:fill="F6F6F6"/>
          <w:lang w:eastAsia="zh-CN"/>
        </w:rPr>
        <w:t>综合</w:t>
      </w:r>
      <w:r>
        <w:rPr>
          <w:rFonts w:ascii="仿宋_GB2312" w:hAnsi="Arial" w:eastAsia="仿宋_GB2312" w:cs="仿宋_GB2312"/>
          <w:sz w:val="32"/>
          <w:szCs w:val="32"/>
          <w:shd w:val="clear" w:color="auto" w:fill="F6F6F6"/>
        </w:rPr>
        <w:t>办公室</w:t>
      </w:r>
      <w:r>
        <w:rPr>
          <w:rFonts w:hint="eastAsia" w:ascii="仿宋_GB2312" w:hAnsi="Arial" w:eastAsia="仿宋_GB2312" w:cs="仿宋_GB2312"/>
          <w:sz w:val="32"/>
          <w:szCs w:val="32"/>
          <w:shd w:val="clear" w:color="auto" w:fill="F6F6F6"/>
          <w:lang w:eastAsia="zh-CN"/>
        </w:rPr>
        <w:t>、计划财务股、宣传教育股、科研监测股。</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湖南津市毛里湖国家湿地公园管理处</w:t>
      </w:r>
      <w:r>
        <w:rPr>
          <w:rFonts w:hint="eastAsia" w:asciiTheme="minorEastAsia" w:hAnsiTheme="minorEastAsia"/>
          <w:bCs/>
          <w:kern w:val="0"/>
          <w:sz w:val="32"/>
          <w:szCs w:val="32"/>
        </w:rPr>
        <w:t>单位</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湖南津市毛里湖国家湿地公园管理处</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6"/>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321.6</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65.34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eastAsia="zh-CN"/>
              </w:rPr>
              <w:t>文化旅游体育与传媒支出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八、社会保障和就业支出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九、卫生健康支出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十、节能环保支出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十一、城乡社区支出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十二、农林水支出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226.25</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十三、</w:t>
            </w:r>
            <w:r>
              <w:rPr>
                <w:rFonts w:hint="eastAsia" w:ascii="Times New Roman" w:hAnsi="Times New Roman" w:eastAsia="仿宋_GB2312" w:cs="Times New Roman"/>
                <w:kern w:val="0"/>
                <w:szCs w:val="21"/>
                <w:lang w:val="en-US" w:eastAsia="zh-CN"/>
              </w:rPr>
              <w:t>.........</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14.33</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w:t>
            </w:r>
          </w:p>
        </w:tc>
        <w:tc>
          <w:tcPr>
            <w:tcW w:w="16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14.33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335.92</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31</w:t>
            </w:r>
          </w:p>
        </w:tc>
        <w:tc>
          <w:tcPr>
            <w:tcW w:w="16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val="0"/>
                <w:bCs w:val="0"/>
                <w:kern w:val="0"/>
                <w:szCs w:val="21"/>
                <w:lang w:val="en-US" w:eastAsia="zh-CN"/>
              </w:rPr>
              <w:t>335.92</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3813" w:type="dxa"/>
        <w:jc w:val="center"/>
        <w:tblLayout w:type="fixed"/>
        <w:tblCellMar>
          <w:top w:w="0" w:type="dxa"/>
          <w:left w:w="108" w:type="dxa"/>
          <w:bottom w:w="0" w:type="dxa"/>
          <w:right w:w="108" w:type="dxa"/>
        </w:tblCellMar>
      </w:tblPr>
      <w:tblGrid>
        <w:gridCol w:w="1197"/>
        <w:gridCol w:w="2840"/>
        <w:gridCol w:w="1254"/>
        <w:gridCol w:w="1296"/>
        <w:gridCol w:w="1581"/>
        <w:gridCol w:w="1419"/>
        <w:gridCol w:w="1282"/>
        <w:gridCol w:w="1527"/>
        <w:gridCol w:w="1417"/>
      </w:tblGrid>
      <w:tr>
        <w:tblPrEx>
          <w:tblCellMar>
            <w:top w:w="0" w:type="dxa"/>
            <w:left w:w="108" w:type="dxa"/>
            <w:bottom w:w="0" w:type="dxa"/>
            <w:right w:w="108" w:type="dxa"/>
          </w:tblCellMar>
        </w:tblPrEx>
        <w:trPr>
          <w:trHeight w:val="450" w:hRule="atLeast"/>
          <w:jc w:val="center"/>
        </w:trPr>
        <w:tc>
          <w:tcPr>
            <w:tcW w:w="4037"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25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29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58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41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2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52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417"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25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8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5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8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037"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25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8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4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5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417"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4037"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321.60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321.60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65.34</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65.34</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2010301</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财政事务</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2010699</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其他财政事务支出</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其他文化和旅游支出</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农林水支出</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林业和草原</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2130201</w:t>
            </w:r>
          </w:p>
        </w:tc>
        <w:tc>
          <w:tcPr>
            <w:tcW w:w="28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12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58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2130212</w:t>
            </w:r>
          </w:p>
        </w:tc>
        <w:tc>
          <w:tcPr>
            <w:tcW w:w="284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湿地保护</w:t>
            </w:r>
          </w:p>
        </w:tc>
        <w:tc>
          <w:tcPr>
            <w:tcW w:w="1254"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29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8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lang w:val="en-US" w:eastAsia="zh-CN"/>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814"/>
        <w:gridCol w:w="1677"/>
        <w:gridCol w:w="1541"/>
        <w:gridCol w:w="1582"/>
        <w:gridCol w:w="1554"/>
        <w:gridCol w:w="1511"/>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916"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77"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54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58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55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51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81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77"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4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8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1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81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677"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4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8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1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916"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77"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4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8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5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51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916"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321.60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100.38</w:t>
            </w:r>
          </w:p>
        </w:tc>
        <w:tc>
          <w:tcPr>
            <w:tcW w:w="158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65.34</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65.34</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2010301</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财政事务</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2010699</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其他财政事务支出</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其他文化和旅游支出</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农林水支出</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58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林业和草原</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226.25</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58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2130201</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541"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1582" w:type="dxa"/>
            <w:shd w:val="clear" w:color="auto" w:fill="auto"/>
            <w:noWrap/>
            <w:vAlign w:val="center"/>
          </w:tcPr>
          <w:p>
            <w:pPr>
              <w:jc w:val="right"/>
              <w:rPr>
                <w:rFonts w:ascii="Times New Roman" w:hAnsi="Times New Roman" w:eastAsia="仿宋_GB2312" w:cs="Times New Roman"/>
                <w:kern w:val="0"/>
                <w:szCs w:val="21"/>
              </w:rPr>
            </w:pP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2130212</w:t>
            </w:r>
          </w:p>
        </w:tc>
        <w:tc>
          <w:tcPr>
            <w:tcW w:w="281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湿地保护</w:t>
            </w:r>
          </w:p>
        </w:tc>
        <w:tc>
          <w:tcPr>
            <w:tcW w:w="1677"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41" w:type="dxa"/>
            <w:shd w:val="clear" w:color="auto" w:fill="auto"/>
            <w:noWrap/>
            <w:vAlign w:val="center"/>
          </w:tcPr>
          <w:p>
            <w:pPr>
              <w:jc w:val="right"/>
              <w:rPr>
                <w:rFonts w:ascii="Times New Roman" w:hAnsi="Times New Roman" w:eastAsia="仿宋_GB2312" w:cs="Times New Roman"/>
                <w:kern w:val="0"/>
                <w:szCs w:val="21"/>
              </w:rPr>
            </w:pPr>
          </w:p>
        </w:tc>
        <w:tc>
          <w:tcPr>
            <w:tcW w:w="158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c>
          <w:tcPr>
            <w:tcW w:w="155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1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321.6</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65.34</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1"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5"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4"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5"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30.00</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4"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八、社会保障和就业支出</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8"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九、卫生健康支出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5"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十、节能环保支出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8"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十一、城乡社区支出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十二、农林水支出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226.25</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十三、</w:t>
            </w:r>
            <w:r>
              <w:rPr>
                <w:rFonts w:hint="eastAsia" w:ascii="Times New Roman" w:hAnsi="Times New Roman" w:eastAsia="仿宋_GB2312" w:cs="Times New Roman"/>
                <w:kern w:val="0"/>
                <w:szCs w:val="21"/>
                <w:lang w:val="en-US" w:eastAsia="zh-CN"/>
              </w:rPr>
              <w:t>....</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321.6</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321.6</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14.33</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14.33</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335.92</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335.92</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321.60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100.38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65.34</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2010301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55.34</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财政事务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2010699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其他财政事务支出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10.00</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其他文化和旅游支出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30.00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农林水支出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林业和草原</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5.03</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2130212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湿地保护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221.22</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55.34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45.03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35.12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0.50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20.23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0.25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0.30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0.80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0.75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1.43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55.34</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45.03</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湖南津市毛里湖国家湿地公园管理处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0.75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0.75</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hint="eastAsia" w:ascii="Times New Roman" w:hAnsi="Times New Roman" w:eastAsia="仿宋_GB2312" w:cs="Times New Roman"/>
          <w:color w:val="000000"/>
          <w:kern w:val="0"/>
          <w:szCs w:val="21"/>
          <w:lang w:eastAsia="zh-CN"/>
        </w:rPr>
        <w:t>湖南津市毛里湖国家湿地公园管理处</w:t>
      </w:r>
      <w:r>
        <w:rPr>
          <w:rFonts w:hint="eastAsia" w:ascii="Times New Roman" w:hAnsi="Times New Roman" w:eastAsia="仿宋_GB2312" w:cs="Times New Roman"/>
          <w:kern w:val="0"/>
          <w:szCs w:val="21"/>
        </w:rPr>
        <w:t>没有政府性基金收入，也没有使用政府性基金安排的支出，故本表无数据</w:t>
      </w:r>
      <w:r>
        <w:rPr>
          <w:rFonts w:ascii="黑体" w:hAnsi="黑体" w:eastAsia="黑体"/>
          <w:szCs w:val="21"/>
        </w:rPr>
        <w:br w:type="page"/>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w:t>
      </w:r>
      <w:r>
        <w:rPr>
          <w:rFonts w:hint="eastAsia" w:ascii="仿宋_GB2312" w:hAnsi="仿宋" w:eastAsia="仿宋_GB2312"/>
          <w:sz w:val="32"/>
          <w:szCs w:val="32"/>
          <w:lang w:val="en-US" w:eastAsia="zh-CN"/>
        </w:rPr>
        <w:t>321.60</w:t>
      </w:r>
      <w:r>
        <w:rPr>
          <w:rFonts w:hint="eastAsia" w:asciiTheme="minorEastAsia" w:hAnsiTheme="minorEastAsia" w:eastAsiaTheme="minorEastAsia"/>
          <w:sz w:val="32"/>
          <w:szCs w:val="32"/>
        </w:rPr>
        <w:t>万元。与2018年相比，减少</w:t>
      </w:r>
      <w:r>
        <w:rPr>
          <w:rFonts w:hint="eastAsia" w:ascii="仿宋_GB2312" w:hAnsi="仿宋" w:eastAsia="仿宋_GB2312"/>
          <w:sz w:val="32"/>
          <w:szCs w:val="32"/>
          <w:lang w:val="en-US" w:eastAsia="zh-CN"/>
        </w:rPr>
        <w:t>324.41</w:t>
      </w:r>
      <w:r>
        <w:rPr>
          <w:rFonts w:hint="eastAsia" w:asciiTheme="minorEastAsia" w:hAnsiTheme="minorEastAsia" w:eastAsiaTheme="minorEastAsia"/>
          <w:sz w:val="32"/>
          <w:szCs w:val="32"/>
        </w:rPr>
        <w:t>万元，减少</w:t>
      </w:r>
      <w:r>
        <w:rPr>
          <w:rFonts w:hint="eastAsia" w:ascii="仿宋_GB2312" w:hAnsi="仿宋" w:eastAsia="仿宋_GB2312"/>
          <w:sz w:val="32"/>
          <w:szCs w:val="32"/>
          <w:lang w:val="en-US" w:eastAsia="zh-CN"/>
        </w:rPr>
        <w:t>50.22</w:t>
      </w:r>
      <w:r>
        <w:rPr>
          <w:rFonts w:hint="eastAsia" w:ascii="仿宋_GB2312" w:hAnsi="仿宋" w:eastAsia="仿宋_GB2312"/>
          <w:sz w:val="32"/>
          <w:szCs w:val="32"/>
        </w:rPr>
        <w:t>%</w:t>
      </w:r>
      <w:r>
        <w:rPr>
          <w:rFonts w:hint="eastAsia" w:asciiTheme="minorEastAsia" w:hAnsiTheme="minorEastAsia" w:eastAsiaTheme="minorEastAsia"/>
          <w:sz w:val="32"/>
          <w:szCs w:val="32"/>
        </w:rPr>
        <w:t>，主要是因为</w:t>
      </w:r>
      <w:r>
        <w:rPr>
          <w:rFonts w:hint="eastAsia" w:ascii="仿宋_GB2312" w:hAnsi="仿宋" w:eastAsia="仿宋_GB2312"/>
          <w:sz w:val="32"/>
          <w:szCs w:val="32"/>
          <w:lang w:eastAsia="zh-CN"/>
        </w:rPr>
        <w:t>由于</w:t>
      </w:r>
      <w:r>
        <w:rPr>
          <w:rFonts w:hint="eastAsia" w:ascii="仿宋_GB2312" w:hAnsi="仿宋" w:eastAsia="仿宋_GB2312"/>
          <w:sz w:val="32"/>
          <w:szCs w:val="32"/>
          <w:lang w:val="en-US" w:eastAsia="zh-CN"/>
        </w:rPr>
        <w:t>2018年新增</w:t>
      </w:r>
      <w:r>
        <w:rPr>
          <w:rFonts w:hint="eastAsia" w:ascii="仿宋_GB2312" w:hAnsi="新宋体" w:eastAsia="仿宋_GB2312"/>
          <w:sz w:val="32"/>
          <w:szCs w:val="32"/>
          <w:lang w:val="en-US" w:eastAsia="zh-CN"/>
        </w:rPr>
        <w:t>加法开署贷款项目可研制作及土地罚款项目。</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100.38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31.21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221.22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68.79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万元，与2018年相比，减少</w:t>
      </w:r>
      <w:r>
        <w:rPr>
          <w:rFonts w:hint="eastAsia" w:ascii="仿宋_GB2312" w:hAnsi="仿宋" w:eastAsia="仿宋_GB2312"/>
          <w:sz w:val="32"/>
          <w:szCs w:val="32"/>
          <w:lang w:val="en-US" w:eastAsia="zh-CN"/>
        </w:rPr>
        <w:t>324.41</w:t>
      </w:r>
      <w:r>
        <w:rPr>
          <w:rFonts w:hint="eastAsia" w:asciiTheme="minorEastAsia" w:hAnsiTheme="minorEastAsia" w:eastAsiaTheme="minorEastAsia"/>
          <w:sz w:val="32"/>
          <w:szCs w:val="32"/>
        </w:rPr>
        <w:t>万元,减少</w:t>
      </w:r>
      <w:r>
        <w:rPr>
          <w:rFonts w:hint="eastAsia" w:ascii="仿宋_GB2312" w:hAnsi="仿宋" w:eastAsia="仿宋_GB2312"/>
          <w:sz w:val="32"/>
          <w:szCs w:val="32"/>
          <w:lang w:val="en-US" w:eastAsia="zh-CN"/>
        </w:rPr>
        <w:t>50.22</w:t>
      </w:r>
      <w:r>
        <w:rPr>
          <w:rFonts w:hint="eastAsia" w:ascii="仿宋_GB2312" w:hAnsi="仿宋" w:eastAsia="仿宋_GB2312"/>
          <w:sz w:val="32"/>
          <w:szCs w:val="32"/>
        </w:rPr>
        <w:t>%</w:t>
      </w:r>
      <w:r>
        <w:rPr>
          <w:rFonts w:hint="eastAsia" w:asciiTheme="minorEastAsia" w:hAnsiTheme="minorEastAsia" w:eastAsiaTheme="minorEastAsia"/>
          <w:sz w:val="32"/>
          <w:szCs w:val="32"/>
        </w:rPr>
        <w:t>，主要是因为</w:t>
      </w:r>
      <w:r>
        <w:rPr>
          <w:rFonts w:hint="eastAsia" w:ascii="仿宋_GB2312" w:hAnsi="仿宋" w:eastAsia="仿宋_GB2312"/>
          <w:sz w:val="32"/>
          <w:szCs w:val="32"/>
          <w:lang w:eastAsia="zh-CN"/>
        </w:rPr>
        <w:t>由于</w:t>
      </w:r>
      <w:r>
        <w:rPr>
          <w:rFonts w:hint="eastAsia" w:ascii="仿宋_GB2312" w:hAnsi="仿宋" w:eastAsia="仿宋_GB2312"/>
          <w:sz w:val="32"/>
          <w:szCs w:val="32"/>
          <w:lang w:val="en-US" w:eastAsia="zh-CN"/>
        </w:rPr>
        <w:t>2018年新增</w:t>
      </w:r>
      <w:r>
        <w:rPr>
          <w:rFonts w:hint="eastAsia" w:ascii="仿宋_GB2312" w:hAnsi="新宋体" w:eastAsia="仿宋_GB2312"/>
          <w:sz w:val="32"/>
          <w:szCs w:val="32"/>
          <w:lang w:val="en-US" w:eastAsia="zh-CN"/>
        </w:rPr>
        <w:t>加法开署贷款项目可研制作及土地罚款项目。</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%，与2018年相比，财政拨款支出增加减少</w:t>
      </w:r>
      <w:r>
        <w:rPr>
          <w:rFonts w:hint="eastAsia" w:asciiTheme="minorEastAsia" w:hAnsiTheme="minorEastAsia" w:eastAsiaTheme="minorEastAsia"/>
          <w:sz w:val="32"/>
          <w:szCs w:val="32"/>
          <w:lang w:val="en-US" w:eastAsia="zh-CN"/>
        </w:rPr>
        <w:t>324.41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50.22</w:t>
      </w:r>
      <w:r>
        <w:rPr>
          <w:rFonts w:hint="eastAsia" w:asciiTheme="minorEastAsia" w:hAnsiTheme="minorEastAsia" w:eastAsiaTheme="minorEastAsia"/>
          <w:sz w:val="32"/>
          <w:szCs w:val="32"/>
        </w:rPr>
        <w:t>%，主要是因为</w:t>
      </w:r>
      <w:r>
        <w:rPr>
          <w:rFonts w:hint="eastAsia" w:ascii="仿宋_GB2312" w:hAnsi="仿宋" w:eastAsia="仿宋_GB2312"/>
          <w:sz w:val="32"/>
          <w:szCs w:val="32"/>
          <w:lang w:eastAsia="zh-CN"/>
        </w:rPr>
        <w:t>由于</w:t>
      </w:r>
      <w:r>
        <w:rPr>
          <w:rFonts w:hint="eastAsia" w:ascii="仿宋_GB2312" w:hAnsi="仿宋" w:eastAsia="仿宋_GB2312"/>
          <w:sz w:val="32"/>
          <w:szCs w:val="32"/>
          <w:lang w:val="en-US" w:eastAsia="zh-CN"/>
        </w:rPr>
        <w:t>2018年新增</w:t>
      </w:r>
      <w:r>
        <w:rPr>
          <w:rFonts w:hint="eastAsia" w:ascii="仿宋_GB2312" w:hAnsi="新宋体" w:eastAsia="仿宋_GB2312"/>
          <w:sz w:val="32"/>
          <w:szCs w:val="32"/>
          <w:lang w:val="en-US" w:eastAsia="zh-CN"/>
        </w:rPr>
        <w:t>加法开署贷款项目可研制作及土地罚款项目。</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65.34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20.32</w:t>
      </w:r>
      <w:r>
        <w:rPr>
          <w:rFonts w:hint="eastAsia" w:asciiTheme="minorEastAsia" w:hAnsiTheme="minorEastAsia" w:eastAsiaTheme="minorEastAsia"/>
          <w:sz w:val="32"/>
          <w:szCs w:val="32"/>
        </w:rPr>
        <w:t>%；文化旅游体育与传媒支出（类）支出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9.33</w:t>
      </w:r>
      <w:r>
        <w:rPr>
          <w:rFonts w:hint="eastAsia" w:asciiTheme="minorEastAsia" w:hAnsiTheme="minorEastAsia" w:eastAsiaTheme="minorEastAsia"/>
          <w:sz w:val="32"/>
          <w:szCs w:val="32"/>
        </w:rPr>
        <w:t>%;农业林水支出</w:t>
      </w:r>
      <w:r>
        <w:rPr>
          <w:rFonts w:hint="eastAsia" w:asciiTheme="minorEastAsia" w:hAnsiTheme="minorEastAsia" w:eastAsiaTheme="minorEastAsia"/>
          <w:sz w:val="32"/>
          <w:szCs w:val="32"/>
          <w:lang w:val="en-US" w:eastAsia="zh-CN"/>
        </w:rPr>
        <w:t>226.26万元，占70.35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243.11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132.29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一般公共服务类支出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65.34</w:t>
      </w:r>
      <w:r>
        <w:rPr>
          <w:rFonts w:hint="eastAsia" w:asciiTheme="minorEastAsia" w:hAnsiTheme="minorEastAsia" w:eastAsiaTheme="minorEastAsia"/>
          <w:sz w:val="32"/>
          <w:szCs w:val="32"/>
        </w:rPr>
        <w:t>万元，决算数大于年初预算数的主要原因是：年初预算额全部列于农林水支出。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万元，决算数大于年初预算数的主要原因是：年初预算额全部列于农林水支出。</w:t>
      </w:r>
    </w:p>
    <w:p>
      <w:pPr>
        <w:pStyle w:val="10"/>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农林水支出。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243.11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226.25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93.06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决算数小于年初预算数的主要原因是：年初预算额</w:t>
      </w:r>
      <w:r>
        <w:rPr>
          <w:rFonts w:hint="eastAsia" w:asciiTheme="minorEastAsia" w:hAnsiTheme="minorEastAsia" w:eastAsiaTheme="minorEastAsia"/>
          <w:sz w:val="32"/>
          <w:szCs w:val="32"/>
          <w:lang w:val="en-US" w:eastAsia="zh-CN"/>
        </w:rPr>
        <w:t>243.11</w:t>
      </w:r>
      <w:r>
        <w:rPr>
          <w:rFonts w:hint="eastAsia" w:asciiTheme="minorEastAsia" w:hAnsiTheme="minorEastAsia" w:eastAsiaTheme="minorEastAsia"/>
          <w:sz w:val="32"/>
          <w:szCs w:val="32"/>
        </w:rPr>
        <w:t>全部列于农林水支出，与决算数相比增加</w:t>
      </w:r>
      <w:r>
        <w:rPr>
          <w:rFonts w:hint="eastAsia" w:asciiTheme="minorEastAsia" w:hAnsiTheme="minorEastAsia" w:eastAsiaTheme="minorEastAsia"/>
          <w:sz w:val="32"/>
          <w:szCs w:val="32"/>
          <w:lang w:val="en-US" w:eastAsia="zh-CN"/>
        </w:rPr>
        <w:t>16.86</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%，增加原因：根据实际林业开支列支。</w:t>
      </w:r>
      <w:r>
        <w:rPr>
          <w:rFonts w:asciiTheme="minorEastAsia" w:hAnsiTheme="minorEastAsia" w:eastAsiaTheme="minorEastAsia"/>
          <w:sz w:val="32"/>
          <w:szCs w:val="32"/>
        </w:rPr>
        <w:t xml:space="preserve"> </w:t>
      </w:r>
    </w:p>
    <w:p>
      <w:pPr>
        <w:pStyle w:val="10"/>
        <w:numPr>
          <w:ilvl w:val="0"/>
          <w:numId w:val="0"/>
        </w:numPr>
        <w:rPr>
          <w:rFonts w:hint="default" w:asciiTheme="minorEastAsia" w:hAnsiTheme="minorEastAsia" w:eastAsiaTheme="minorEastAsia"/>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55.34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55.13</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45.03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44.87</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水费、电费、差旅费、公务接待费、专用材料费、专用燃料费、委托业务费等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w:t>
      </w:r>
      <w:r>
        <w:rPr>
          <w:rFonts w:hint="eastAsia" w:asciiTheme="minorEastAsia" w:hAnsiTheme="minorEastAsia" w:eastAsiaTheme="minorEastAsia"/>
          <w:sz w:val="32"/>
          <w:szCs w:val="32"/>
          <w:lang w:eastAsia="zh-CN"/>
        </w:rPr>
        <w:t>比没有产生</w:t>
      </w:r>
      <w:r>
        <w:rPr>
          <w:rFonts w:hint="eastAsia" w:asciiTheme="minorEastAsia" w:hAnsiTheme="minorEastAsia" w:eastAsiaTheme="minorEastAsia"/>
          <w:sz w:val="32"/>
          <w:szCs w:val="32"/>
        </w:rPr>
        <w:t>因公出国（境）费</w:t>
      </w:r>
      <w:r>
        <w:rPr>
          <w:rFonts w:hint="eastAsia" w:asciiTheme="minorEastAsia" w:hAnsiTheme="minorEastAsia" w:eastAsiaTheme="minorEastAsia"/>
          <w:sz w:val="32"/>
          <w:szCs w:val="32"/>
          <w:lang w:eastAsia="zh-CN"/>
        </w:rPr>
        <w:t>用</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0.75</w:t>
      </w:r>
      <w:r>
        <w:rPr>
          <w:rFonts w:hint="eastAsia" w:asciiTheme="minorEastAsia" w:hAnsiTheme="minorEastAsia" w:eastAsiaTheme="minorEastAsia"/>
          <w:sz w:val="32"/>
          <w:szCs w:val="32"/>
        </w:rPr>
        <w:t>%，决算数小于年初预算数的主要原因是加强管理、节俭开支，与上年相比减少</w:t>
      </w:r>
      <w:r>
        <w:rPr>
          <w:rFonts w:hint="eastAsia" w:asciiTheme="minorEastAsia" w:hAnsiTheme="minorEastAsia" w:eastAsiaTheme="minorEastAsia"/>
          <w:sz w:val="32"/>
          <w:szCs w:val="32"/>
          <w:lang w:val="en-US" w:eastAsia="zh-CN"/>
        </w:rPr>
        <w:t>2.25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%,减少的主要原因是加强公务接待管理，严格控制。</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万元，主要原因是</w:t>
      </w:r>
      <w:r>
        <w:rPr>
          <w:rFonts w:hint="eastAsia" w:asciiTheme="minorEastAsia" w:hAnsiTheme="minorEastAsia" w:eastAsiaTheme="minorEastAsia"/>
          <w:sz w:val="32"/>
          <w:szCs w:val="32"/>
          <w:lang w:eastAsia="zh-CN"/>
        </w:rPr>
        <w:t>本单位无公务用车，所以并未产生公务用车费用</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0.75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次,开支内容包括：</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0.75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人次，主要是是招商引资；上级单位</w:t>
      </w:r>
      <w:r>
        <w:rPr>
          <w:rFonts w:hint="eastAsia" w:asciiTheme="minorEastAsia" w:hAnsiTheme="minorEastAsia" w:eastAsiaTheme="minorEastAsia"/>
          <w:sz w:val="32"/>
          <w:szCs w:val="32"/>
          <w:lang w:eastAsia="zh-CN"/>
        </w:rPr>
        <w:t>及其他湿地公园</w:t>
      </w:r>
      <w:r>
        <w:rPr>
          <w:rFonts w:hint="eastAsia" w:asciiTheme="minorEastAsia" w:hAnsiTheme="minorEastAsia" w:eastAsiaTheme="minorEastAsia"/>
          <w:sz w:val="32"/>
          <w:szCs w:val="32"/>
        </w:rPr>
        <w:t>来我单位业务工作视察、工作指导等发生的接待支出。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万元，截止2019年12月31日，我单位开支财政拨款的公务用车保有量为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cs="黑体" w:asciiTheme="minorEastAsia" w:hAnsiTheme="minorEastAsia"/>
          <w:i/>
          <w:color w:val="FF0000"/>
          <w:kern w:val="0"/>
          <w:sz w:val="32"/>
          <w:szCs w:val="32"/>
        </w:rPr>
        <w:t>（</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本单位无政府性基金收支。</w:t>
      </w:r>
    </w:p>
    <w:p>
      <w:pPr>
        <w:pStyle w:val="10"/>
        <w:rPr>
          <w:rFonts w:hAnsi="黑体"/>
          <w:b/>
          <w:sz w:val="32"/>
          <w:szCs w:val="32"/>
        </w:rPr>
      </w:pPr>
      <w:r>
        <w:rPr>
          <w:rFonts w:hint="eastAsia" w:hAnsi="黑体"/>
          <w:b/>
          <w:sz w:val="32"/>
          <w:szCs w:val="32"/>
        </w:rPr>
        <w:t>九、关于2019年度预算绩效情况说明</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（1）部门整体收支概况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我</w:t>
      </w:r>
      <w:r>
        <w:rPr>
          <w:rFonts w:hint="eastAsia" w:asciiTheme="minorEastAsia" w:hAnsiTheme="minorEastAsia" w:eastAsiaTheme="minorEastAsia"/>
          <w:sz w:val="32"/>
          <w:szCs w:val="32"/>
          <w:lang w:eastAsia="zh-CN"/>
        </w:rPr>
        <w:t>管理处</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lang w:eastAsia="zh-CN"/>
        </w:rPr>
        <w:t>年</w:t>
      </w:r>
      <w:r>
        <w:rPr>
          <w:rFonts w:hint="eastAsia" w:asciiTheme="minorEastAsia" w:hAnsiTheme="minorEastAsia" w:eastAsiaTheme="minorEastAsia"/>
          <w:sz w:val="32"/>
          <w:szCs w:val="32"/>
        </w:rPr>
        <w:t>的部门决算是在严格执行</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lang w:eastAsia="zh-CN"/>
        </w:rPr>
        <w:t>年</w:t>
      </w:r>
      <w:r>
        <w:rPr>
          <w:rFonts w:hint="eastAsia" w:asciiTheme="minorEastAsia" w:hAnsiTheme="minorEastAsia" w:eastAsiaTheme="minorEastAsia"/>
          <w:sz w:val="32"/>
          <w:szCs w:val="32"/>
        </w:rPr>
        <w:t>部门预算的基础上，按照当年实际收支情况进行编制的。</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lang w:eastAsia="zh-CN"/>
        </w:rPr>
        <w:t>年</w:t>
      </w:r>
      <w:r>
        <w:rPr>
          <w:rFonts w:hint="eastAsia" w:asciiTheme="minorEastAsia" w:hAnsiTheme="minorEastAsia" w:eastAsiaTheme="minorEastAsia"/>
          <w:sz w:val="32"/>
          <w:szCs w:val="32"/>
        </w:rPr>
        <w:t>我</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财政部门综合预算内拨款基本支出下达数为</w:t>
      </w:r>
      <w:r>
        <w:rPr>
          <w:rFonts w:hint="eastAsia" w:asciiTheme="minorEastAsia" w:hAnsiTheme="minorEastAsia" w:eastAsiaTheme="minorEastAsia"/>
          <w:sz w:val="32"/>
          <w:szCs w:val="32"/>
          <w:lang w:val="en-US" w:eastAsia="zh-CN"/>
        </w:rPr>
        <w:t>55.34万</w:t>
      </w:r>
      <w:r>
        <w:rPr>
          <w:rFonts w:hint="eastAsia" w:asciiTheme="minorEastAsia" w:hAnsiTheme="minorEastAsia" w:eastAsiaTheme="minorEastAsia"/>
          <w:sz w:val="32"/>
          <w:szCs w:val="32"/>
        </w:rPr>
        <w:t>元（包括人员工资及事业性收费），</w:t>
      </w:r>
      <w:r>
        <w:rPr>
          <w:rFonts w:hint="eastAsia" w:asciiTheme="minorEastAsia" w:hAnsiTheme="minorEastAsia" w:eastAsiaTheme="minorEastAsia"/>
          <w:sz w:val="32"/>
          <w:szCs w:val="32"/>
          <w:lang w:eastAsia="zh-CN"/>
        </w:rPr>
        <w:t>其他财政事务支出</w:t>
      </w:r>
      <w:r>
        <w:rPr>
          <w:rFonts w:hint="eastAsia" w:asciiTheme="minorEastAsia" w:hAnsiTheme="minorEastAsia" w:eastAsiaTheme="minorEastAsia"/>
          <w:sz w:val="32"/>
          <w:szCs w:val="32"/>
          <w:lang w:val="en-US" w:eastAsia="zh-CN"/>
        </w:rPr>
        <w:t>10万元，其他旅游业管理与服务支出30万元，</w:t>
      </w:r>
      <w:r>
        <w:rPr>
          <w:rFonts w:hint="eastAsia" w:asciiTheme="minorEastAsia" w:hAnsiTheme="minorEastAsia" w:eastAsiaTheme="minorEastAsia"/>
          <w:sz w:val="32"/>
          <w:szCs w:val="32"/>
          <w:lang w:eastAsia="zh-CN"/>
        </w:rPr>
        <w:t>湿地保护工作经费</w:t>
      </w:r>
      <w:r>
        <w:rPr>
          <w:rFonts w:hint="eastAsia" w:asciiTheme="minorEastAsia" w:hAnsiTheme="minorEastAsia" w:eastAsiaTheme="minorEastAsia"/>
          <w:sz w:val="32"/>
          <w:szCs w:val="32"/>
        </w:rPr>
        <w:t>财政补助款</w:t>
      </w:r>
      <w:r>
        <w:rPr>
          <w:rFonts w:hint="eastAsia" w:asciiTheme="minorEastAsia" w:hAnsiTheme="minorEastAsia" w:eastAsiaTheme="minorEastAsia"/>
          <w:sz w:val="32"/>
          <w:szCs w:val="32"/>
          <w:lang w:val="en-US" w:eastAsia="zh-CN"/>
        </w:rPr>
        <w:t>226.26</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val="en-US" w:eastAsia="zh-CN"/>
        </w:rPr>
        <w:t>，上年末结转资金14.33元，</w:t>
      </w:r>
      <w:r>
        <w:rPr>
          <w:rFonts w:hint="eastAsia" w:asciiTheme="minorEastAsia" w:hAnsiTheme="minorEastAsia" w:eastAsiaTheme="minorEastAsia"/>
          <w:sz w:val="32"/>
          <w:szCs w:val="32"/>
        </w:rPr>
        <w:t>总计全年财政拨</w:t>
      </w:r>
      <w:r>
        <w:rPr>
          <w:rFonts w:hint="eastAsia" w:asciiTheme="minorEastAsia" w:hAnsiTheme="minorEastAsia" w:eastAsiaTheme="minorEastAsia"/>
          <w:sz w:val="32"/>
          <w:szCs w:val="32"/>
          <w:lang w:eastAsia="zh-CN"/>
        </w:rPr>
        <w:t>款</w:t>
      </w:r>
      <w:r>
        <w:rPr>
          <w:rFonts w:hint="eastAsia" w:asciiTheme="minorEastAsia" w:hAnsiTheme="minorEastAsia" w:eastAsiaTheme="minorEastAsia"/>
          <w:sz w:val="32"/>
          <w:szCs w:val="32"/>
          <w:lang w:val="en-US" w:eastAsia="zh-CN"/>
        </w:rPr>
        <w:t>321.60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（2）整体支出绩效目标</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通过2019年</w:t>
      </w:r>
      <w:r>
        <w:rPr>
          <w:rFonts w:hint="eastAsia" w:asciiTheme="minorEastAsia" w:hAnsiTheme="minorEastAsia" w:eastAsiaTheme="minorEastAsia"/>
          <w:sz w:val="32"/>
          <w:szCs w:val="32"/>
          <w:lang w:eastAsia="zh-CN"/>
        </w:rPr>
        <w:t>湿地公园</w:t>
      </w:r>
      <w:r>
        <w:rPr>
          <w:rFonts w:hint="eastAsia" w:asciiTheme="minorEastAsia" w:hAnsiTheme="minorEastAsia" w:eastAsiaTheme="minorEastAsia"/>
          <w:sz w:val="32"/>
          <w:szCs w:val="32"/>
        </w:rPr>
        <w:t>整体工作的实施，</w:t>
      </w:r>
      <w:r>
        <w:rPr>
          <w:rFonts w:hint="eastAsia" w:asciiTheme="minorEastAsia" w:hAnsiTheme="minorEastAsia" w:eastAsiaTheme="minorEastAsia"/>
          <w:sz w:val="32"/>
          <w:szCs w:val="32"/>
          <w:lang w:eastAsia="zh-CN"/>
        </w:rPr>
        <w:t>毛里湖</w:t>
      </w:r>
      <w:r>
        <w:rPr>
          <w:rFonts w:hint="eastAsia" w:asciiTheme="minorEastAsia" w:hAnsiTheme="minorEastAsia" w:eastAsiaTheme="minorEastAsia"/>
          <w:sz w:val="32"/>
          <w:szCs w:val="32"/>
        </w:rPr>
        <w:t>生态环境得到有效改善,</w:t>
      </w:r>
      <w:r>
        <w:rPr>
          <w:rFonts w:hint="eastAsia" w:asciiTheme="minorEastAsia" w:hAnsiTheme="minorEastAsia" w:eastAsiaTheme="minorEastAsia"/>
          <w:sz w:val="32"/>
          <w:szCs w:val="32"/>
          <w:lang w:eastAsia="zh-CN"/>
        </w:rPr>
        <w:t>野生动植物数量及品种逐步增加，毛里湖水质也逐步好转。</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一、</w:t>
      </w:r>
      <w:r>
        <w:rPr>
          <w:rFonts w:hint="eastAsia" w:asciiTheme="minorEastAsia" w:hAnsiTheme="minorEastAsia" w:eastAsiaTheme="minorEastAsia"/>
          <w:sz w:val="32"/>
          <w:szCs w:val="32"/>
        </w:rPr>
        <w:t>生态效益：</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①改善了生态环境，保障了生态系统的良性循环。</w:t>
      </w:r>
      <w:r>
        <w:rPr>
          <w:rFonts w:hint="eastAsia" w:asciiTheme="minorEastAsia" w:hAnsiTheme="minorEastAsia" w:eastAsiaTheme="minorEastAsia"/>
          <w:sz w:val="32"/>
          <w:szCs w:val="32"/>
          <w:lang w:eastAsia="zh-CN"/>
        </w:rPr>
        <w:t>毛里湖的大生态环境在加快恢复，野菱、苦草、灯笼草等水质指示性植物在大面积出现，野生鲢鱼的种群数量略增，银鱼也在现身，鸟类数量稳定增加。</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二、</w:t>
      </w:r>
      <w:r>
        <w:rPr>
          <w:rFonts w:hint="eastAsia" w:asciiTheme="minorEastAsia" w:hAnsiTheme="minorEastAsia" w:eastAsiaTheme="minorEastAsia"/>
          <w:sz w:val="32"/>
          <w:szCs w:val="32"/>
        </w:rPr>
        <w:t>社会效益：</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①项目实施后，能有效地保障区域生态环境的稳定，从而有利于保障群众生命财产安全和农业生产建设。</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②安排了部分劳动力的就业，保持了社会稳定。</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三、</w:t>
      </w:r>
      <w:r>
        <w:rPr>
          <w:rFonts w:hint="eastAsia" w:asciiTheme="minorEastAsia" w:hAnsiTheme="minorEastAsia" w:eastAsiaTheme="minorEastAsia"/>
          <w:sz w:val="32"/>
          <w:szCs w:val="32"/>
        </w:rPr>
        <w:t>经济效益：</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增加了</w:t>
      </w:r>
      <w:r>
        <w:rPr>
          <w:rFonts w:hint="eastAsia" w:asciiTheme="minorEastAsia" w:hAnsiTheme="minorEastAsia" w:eastAsiaTheme="minorEastAsia"/>
          <w:sz w:val="32"/>
          <w:szCs w:val="32"/>
          <w:lang w:eastAsia="zh-CN"/>
        </w:rPr>
        <w:t>当地农民</w:t>
      </w:r>
      <w:r>
        <w:rPr>
          <w:rFonts w:hint="eastAsia" w:asciiTheme="minorEastAsia" w:hAnsiTheme="minorEastAsia" w:eastAsiaTheme="minorEastAsia"/>
          <w:sz w:val="32"/>
          <w:szCs w:val="32"/>
        </w:rPr>
        <w:t>的收入,促进农民增收致富。</w:t>
      </w:r>
      <w:r>
        <w:rPr>
          <w:rFonts w:hint="eastAsia" w:asciiTheme="minorEastAsia" w:hAnsiTheme="minorEastAsia" w:eastAsiaTheme="minorEastAsia"/>
          <w:sz w:val="32"/>
          <w:szCs w:val="32"/>
          <w:lang w:eastAsia="zh-CN"/>
        </w:rPr>
        <w:t>增加了就业途径</w:t>
      </w:r>
    </w:p>
    <w:p>
      <w:pPr>
        <w:pStyle w:val="10"/>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（3）绩效目标完成情况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为全面推进预算绩效管理，规范预算资金使用情况，我</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成立了预算绩效管理小组，明确分工，制定方案，实行专人专帐管理、责任目标管理、全程接受监督检查。2019年按照预算绩效管理要求开展了部门预算整体绩效评价</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均按计划完成了各项工作。</w:t>
      </w:r>
    </w:p>
    <w:p>
      <w:pPr>
        <w:pStyle w:val="10"/>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（4）部门整体支出情况分析</w:t>
      </w:r>
    </w:p>
    <w:p>
      <w:pPr>
        <w:pStyle w:val="10"/>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2019年本单位支出</w:t>
      </w:r>
      <w:r>
        <w:rPr>
          <w:rFonts w:hint="eastAsia" w:asciiTheme="minorEastAsia" w:hAnsiTheme="minorEastAsia" w:eastAsiaTheme="minorEastAsia"/>
          <w:sz w:val="32"/>
          <w:szCs w:val="32"/>
          <w:lang w:val="en-US" w:eastAsia="zh-CN"/>
        </w:rPr>
        <w:t>321.6</w:t>
      </w:r>
      <w:r>
        <w:rPr>
          <w:rFonts w:hint="eastAsia" w:asciiTheme="minorEastAsia" w:hAnsiTheme="minorEastAsia" w:eastAsiaTheme="minorEastAsia"/>
          <w:sz w:val="32"/>
          <w:szCs w:val="32"/>
        </w:rPr>
        <w:t>万元，其中基本支出决算数</w:t>
      </w:r>
      <w:r>
        <w:rPr>
          <w:rFonts w:hint="eastAsia" w:asciiTheme="minorEastAsia" w:hAnsiTheme="minorEastAsia" w:eastAsiaTheme="minorEastAsia"/>
          <w:sz w:val="32"/>
          <w:szCs w:val="32"/>
          <w:lang w:val="en-US" w:eastAsia="zh-CN"/>
        </w:rPr>
        <w:t>100.38</w:t>
      </w:r>
      <w:r>
        <w:rPr>
          <w:rFonts w:hint="eastAsia" w:asciiTheme="minorEastAsia" w:hAnsiTheme="minorEastAsia" w:eastAsiaTheme="minorEastAsia"/>
          <w:sz w:val="32"/>
          <w:szCs w:val="32"/>
        </w:rPr>
        <w:t>万元，主要用于人员经费开支、机关运行经费；项目支出决算数</w:t>
      </w:r>
      <w:r>
        <w:rPr>
          <w:rFonts w:hint="eastAsia" w:asciiTheme="minorEastAsia" w:hAnsiTheme="minorEastAsia" w:eastAsiaTheme="minorEastAsia"/>
          <w:sz w:val="32"/>
          <w:szCs w:val="32"/>
          <w:lang w:val="en-US" w:eastAsia="zh-CN"/>
        </w:rPr>
        <w:t>221.22</w:t>
      </w:r>
      <w:r>
        <w:rPr>
          <w:rFonts w:hint="eastAsia" w:asciiTheme="minorEastAsia" w:hAnsiTheme="minorEastAsia" w:eastAsiaTheme="minorEastAsia"/>
          <w:sz w:val="32"/>
          <w:szCs w:val="32"/>
        </w:rPr>
        <w:t>万元，资金包括</w:t>
      </w:r>
      <w:r>
        <w:rPr>
          <w:rFonts w:hint="eastAsia" w:asciiTheme="minorEastAsia" w:hAnsiTheme="minorEastAsia" w:eastAsiaTheme="minorEastAsia"/>
          <w:sz w:val="32"/>
          <w:szCs w:val="32"/>
          <w:lang w:eastAsia="zh-CN"/>
        </w:rPr>
        <w:t>土地流转、园区绿化维护、园区生态环境保护</w:t>
      </w:r>
      <w:r>
        <w:rPr>
          <w:rFonts w:hint="eastAsia" w:asciiTheme="minorEastAsia" w:hAnsiTheme="minorEastAsia" w:eastAsiaTheme="minorEastAsia"/>
          <w:sz w:val="32"/>
          <w:szCs w:val="32"/>
        </w:rPr>
        <w:t>等各项资金，以上要求全部发放到位。</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45.03</w:t>
      </w:r>
      <w:r>
        <w:rPr>
          <w:rFonts w:hint="eastAsia" w:cs="黑体" w:asciiTheme="minorEastAsia" w:hAnsiTheme="minorEastAsia"/>
          <w:color w:val="000000"/>
          <w:kern w:val="0"/>
          <w:sz w:val="32"/>
          <w:szCs w:val="32"/>
        </w:rPr>
        <w:t>万元，比年初预算数增加</w:t>
      </w:r>
      <w:r>
        <w:rPr>
          <w:rFonts w:hint="eastAsia" w:cs="黑体" w:asciiTheme="minorEastAsia" w:hAnsiTheme="minorEastAsia"/>
          <w:color w:val="000000"/>
          <w:kern w:val="0"/>
          <w:sz w:val="32"/>
          <w:szCs w:val="32"/>
          <w:lang w:val="en-US" w:eastAsia="zh-CN"/>
        </w:rPr>
        <w:t>37.05</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464.28</w:t>
      </w:r>
      <w:r>
        <w:rPr>
          <w:rFonts w:hint="eastAsia" w:cs="黑体" w:asciiTheme="minorEastAsia" w:hAnsiTheme="minorEastAsia"/>
          <w:color w:val="000000"/>
          <w:kern w:val="0"/>
          <w:sz w:val="32"/>
          <w:szCs w:val="32"/>
        </w:rPr>
        <w:t>%。主要原因是：因决算报表编制原因，列的运行经费支出要与一般公共预算财政拨款收入支出决算表相同，所以列支的</w:t>
      </w:r>
      <w:r>
        <w:rPr>
          <w:rFonts w:hint="eastAsia" w:cs="黑体" w:asciiTheme="minorEastAsia" w:hAnsiTheme="minorEastAsia"/>
          <w:color w:val="000000"/>
          <w:kern w:val="0"/>
          <w:sz w:val="32"/>
          <w:szCs w:val="32"/>
          <w:lang w:val="en-US" w:eastAsia="zh-CN"/>
        </w:rPr>
        <w:t>45.03</w:t>
      </w:r>
      <w:r>
        <w:rPr>
          <w:rFonts w:hint="eastAsia" w:cs="黑体" w:asciiTheme="minorEastAsia" w:hAnsiTheme="minorEastAsia"/>
          <w:color w:val="000000"/>
          <w:kern w:val="0"/>
          <w:sz w:val="32"/>
          <w:szCs w:val="32"/>
        </w:rPr>
        <w:t>万元，但其中还有大部分机关运行经费列支在一般公共预算项目支出决算表中。</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本部门2019年度政府采购支出总额0万元。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shd w:val="clear" w:color="auto" w:fill="FFFFFF"/>
        <w:spacing w:before="0" w:beforeAutospacing="0" w:after="0" w:afterAutospacing="0" w:line="560" w:lineRule="exact"/>
        <w:ind w:firstLine="800" w:firstLineChars="25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一、基本支出：指为保障机构正常运转、完成日常工作任务而发生的各项支出，包括人员支出和公用支出。 </w:t>
      </w:r>
    </w:p>
    <w:p>
      <w:pPr>
        <w:pStyle w:val="5"/>
        <w:shd w:val="clear" w:color="auto" w:fill="FFFFFF"/>
        <w:spacing w:before="0" w:beforeAutospacing="0" w:after="0" w:afterAutospacing="0" w:line="560" w:lineRule="exact"/>
        <w:ind w:firstLine="384"/>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 xml:space="preserve">  二、项目支出：指在基本支出以外为完成相关行政任务和事业发展目标所发生的各项支出。 </w:t>
      </w:r>
    </w:p>
    <w:p>
      <w:pPr>
        <w:pStyle w:val="5"/>
        <w:shd w:val="clear" w:color="auto" w:fill="FFFFFF"/>
        <w:spacing w:before="0" w:beforeAutospacing="0" w:after="0" w:afterAutospacing="0" w:line="560" w:lineRule="exact"/>
        <w:ind w:firstLine="384"/>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 xml:space="preserve">  三、“三公”经费：指通过财政拨款资金安排的因公出国（境）费、公务用车购置及运行费和公务接待费支出。 </w:t>
      </w:r>
    </w:p>
    <w:p>
      <w:pPr>
        <w:pStyle w:val="5"/>
        <w:shd w:val="clear" w:color="auto" w:fill="FFFFFF"/>
        <w:spacing w:before="0" w:beforeAutospacing="0" w:after="0" w:afterAutospacing="0" w:line="560" w:lineRule="exact"/>
        <w:ind w:firstLine="384"/>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 xml:space="preserve">  四、机关运行经费：是指各部门的公用经费，包括办公及印刷费、邮电费、差旅费、会议费、福利费、日常维修费、专用材料及一般设备购置费、办公用房水电费、办公用房取暖费、办公用房物业管理费、公务用车运行维护费以及其他费。</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widowControl/>
        <w:jc w:val="left"/>
        <w:rPr>
          <w:rFonts w:asciiTheme="minorEastAsia" w:hAnsiTheme="minorEastAsia"/>
          <w:i/>
          <w:color w:val="FF000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widowControl/>
        <w:tabs>
          <w:tab w:val="left" w:pos="2203"/>
          <w:tab w:val="left" w:pos="4145"/>
          <w:tab w:val="left" w:pos="5718"/>
          <w:tab w:val="left" w:pos="6938"/>
          <w:tab w:val="left" w:pos="8139"/>
        </w:tabs>
        <w:spacing w:line="600" w:lineRule="exact"/>
        <w:ind w:left="93"/>
        <w:jc w:val="left"/>
        <w:rPr>
          <w:rFonts w:ascii="Calibri" w:hAnsi="Calibri" w:eastAsia="黑体" w:cs="Times New Roman"/>
          <w:kern w:val="0"/>
          <w:sz w:val="32"/>
          <w:szCs w:val="32"/>
        </w:rPr>
      </w:pPr>
    </w:p>
    <w:p>
      <w:pPr>
        <w:jc w:val="center"/>
        <w:rPr>
          <w:rFonts w:ascii="仿宋" w:hAnsi="仿宋" w:eastAsia="仿宋" w:cs="Times New Roman"/>
          <w:bCs/>
          <w:kern w:val="0"/>
          <w:sz w:val="32"/>
          <w:szCs w:val="32"/>
        </w:rPr>
      </w:pPr>
      <w:r>
        <w:rPr>
          <w:rFonts w:hint="eastAsia" w:cs="Times New Roman" w:asciiTheme="minorEastAsia" w:hAnsiTheme="minorEastAsia"/>
          <w:b/>
          <w:bCs/>
          <w:kern w:val="0"/>
          <w:sz w:val="36"/>
          <w:szCs w:val="36"/>
        </w:rPr>
        <w:t>部门整体支出绩效目标申报表</w:t>
      </w:r>
      <w:r>
        <w:rPr>
          <w:rFonts w:hint="eastAsia" w:cs="Times New Roman" w:asciiTheme="minorEastAsia" w:hAnsiTheme="minorEastAsia"/>
          <w:b/>
          <w:bCs/>
          <w:kern w:val="0"/>
          <w:sz w:val="36"/>
          <w:szCs w:val="36"/>
        </w:rPr>
        <w:br w:type="textWrapping"/>
      </w:r>
      <w:r>
        <w:rPr>
          <w:rFonts w:ascii="仿宋" w:hAnsi="仿宋" w:eastAsia="仿宋" w:cs="Times New Roman"/>
          <w:bCs/>
          <w:kern w:val="0"/>
          <w:sz w:val="32"/>
          <w:szCs w:val="32"/>
        </w:rPr>
        <w:t xml:space="preserve">（   </w:t>
      </w:r>
      <w:r>
        <w:rPr>
          <w:rFonts w:hint="eastAsia" w:ascii="仿宋" w:hAnsi="仿宋" w:eastAsia="仿宋" w:cs="Times New Roman"/>
          <w:bCs/>
          <w:kern w:val="0"/>
          <w:sz w:val="32"/>
          <w:szCs w:val="32"/>
          <w:lang w:val="en-US" w:eastAsia="zh-CN"/>
        </w:rPr>
        <w:t>2019</w:t>
      </w:r>
      <w:r>
        <w:rPr>
          <w:rFonts w:hint="eastAsia" w:ascii="仿宋" w:hAnsi="仿宋" w:eastAsia="仿宋" w:cs="Times New Roman"/>
          <w:bCs/>
          <w:kern w:val="0"/>
          <w:sz w:val="32"/>
          <w:szCs w:val="32"/>
        </w:rPr>
        <w:t xml:space="preserve"> </w:t>
      </w:r>
      <w:r>
        <w:rPr>
          <w:rFonts w:ascii="仿宋" w:hAnsi="仿宋" w:eastAsia="仿宋" w:cs="Times New Roman"/>
          <w:bCs/>
          <w:kern w:val="0"/>
          <w:sz w:val="32"/>
          <w:szCs w:val="32"/>
        </w:rPr>
        <w:t>年度）</w:t>
      </w:r>
    </w:p>
    <w:p>
      <w:pPr>
        <w:widowControl/>
        <w:tabs>
          <w:tab w:val="left" w:pos="2593"/>
        </w:tabs>
        <w:ind w:left="93"/>
        <w:jc w:val="left"/>
        <w:rPr>
          <w:rFonts w:ascii="Calibri" w:hAnsi="Calibri" w:eastAsia="黑体" w:cs="Times New Roman"/>
          <w:kern w:val="0"/>
          <w:szCs w:val="21"/>
        </w:rPr>
      </w:pPr>
      <w:r>
        <w:rPr>
          <w:rFonts w:ascii="宋体" w:hAnsi="宋体" w:eastAsia="宋体" w:cs="Times New Roman"/>
          <w:kern w:val="0"/>
          <w:szCs w:val="21"/>
        </w:rPr>
        <w:t>填报单位（盖章）</w:t>
      </w:r>
      <w:r>
        <w:rPr>
          <w:rFonts w:hint="eastAsia" w:ascii="Calibri" w:hAnsi="Calibri" w:eastAsia="黑体" w:cs="Times New Roman"/>
          <w:kern w:val="0"/>
          <w:szCs w:val="21"/>
        </w:rPr>
        <w:t>：</w:t>
      </w:r>
      <w:r>
        <w:rPr>
          <w:rFonts w:ascii="Calibri" w:hAnsi="Calibri" w:eastAsia="黑体" w:cs="Times New Roman"/>
          <w:kern w:val="0"/>
          <w:szCs w:val="21"/>
        </w:rPr>
        <w:tab/>
      </w:r>
    </w:p>
    <w:tbl>
      <w:tblPr>
        <w:tblStyle w:val="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200"/>
        <w:gridCol w:w="274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00"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部门名称</w:t>
            </w:r>
          </w:p>
        </w:tc>
        <w:tc>
          <w:tcPr>
            <w:tcW w:w="7140" w:type="dxa"/>
            <w:gridSpan w:val="3"/>
            <w:shd w:val="clear" w:color="auto" w:fill="auto"/>
            <w:vAlign w:val="center"/>
          </w:tcPr>
          <w:p>
            <w:pPr>
              <w:widowControl/>
              <w:jc w:val="center"/>
              <w:rPr>
                <w:rFonts w:ascii="Calibri" w:hAnsi="Calibri" w:eastAsia="黑体" w:cs="Times New Roman"/>
                <w:kern w:val="0"/>
                <w:szCs w:val="21"/>
              </w:rPr>
            </w:pPr>
            <w:r>
              <w:rPr>
                <w:rFonts w:hint="eastAsia" w:ascii="Calibri" w:hAnsi="Calibri" w:eastAsia="黑体" w:cs="Times New Roman"/>
                <w:kern w:val="0"/>
                <w:szCs w:val="21"/>
              </w:rPr>
              <w:t>湖南津市毛里胡国家湿地公园管理处</w:t>
            </w:r>
            <w:r>
              <w:rPr>
                <w:rFonts w:ascii="Calibri" w:hAnsi="Calibri" w:eastAsia="黑体"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restart"/>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年度预算申请</w:t>
            </w:r>
            <w:r>
              <w:rPr>
                <w:rFonts w:ascii="宋体" w:hAnsi="宋体" w:eastAsia="宋体" w:cs="Times New Roman"/>
                <w:kern w:val="0"/>
                <w:szCs w:val="21"/>
              </w:rPr>
              <w:br w:type="textWrapping"/>
            </w:r>
            <w:r>
              <w:rPr>
                <w:rFonts w:ascii="宋体" w:hAnsi="宋体" w:eastAsia="宋体" w:cs="Times New Roman"/>
                <w:kern w:val="0"/>
                <w:szCs w:val="21"/>
              </w:rPr>
              <w:t>（万元）</w:t>
            </w:r>
          </w:p>
        </w:tc>
        <w:tc>
          <w:tcPr>
            <w:tcW w:w="7140" w:type="dxa"/>
            <w:gridSpan w:val="3"/>
            <w:shd w:val="clear" w:color="auto" w:fill="auto"/>
            <w:vAlign w:val="center"/>
          </w:tcPr>
          <w:p>
            <w:pPr>
              <w:widowControl/>
              <w:jc w:val="left"/>
              <w:rPr>
                <w:rFonts w:hint="default" w:ascii="宋体" w:hAnsi="宋体" w:eastAsia="宋体" w:cs="Times New Roman"/>
                <w:kern w:val="0"/>
                <w:szCs w:val="21"/>
                <w:lang w:val="en-US" w:eastAsia="zh-CN"/>
              </w:rPr>
            </w:pPr>
            <w:r>
              <w:rPr>
                <w:rFonts w:ascii="宋体" w:hAnsi="宋体" w:eastAsia="宋体" w:cs="Times New Roman"/>
                <w:kern w:val="0"/>
                <w:szCs w:val="21"/>
              </w:rPr>
              <w:t>资金总额：</w:t>
            </w:r>
            <w:r>
              <w:rPr>
                <w:rFonts w:hint="eastAsia" w:ascii="宋体" w:hAnsi="宋体" w:eastAsia="宋体" w:cs="Times New Roman"/>
                <w:kern w:val="0"/>
                <w:szCs w:val="21"/>
                <w:lang w:val="en-US" w:eastAsia="zh-CN"/>
              </w:rPr>
              <w:t>321.60万元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3940" w:type="dxa"/>
            <w:gridSpan w:val="2"/>
            <w:shd w:val="clear" w:color="auto" w:fill="auto"/>
            <w:vAlign w:val="center"/>
          </w:tcPr>
          <w:p>
            <w:pPr>
              <w:widowControl/>
              <w:jc w:val="left"/>
              <w:rPr>
                <w:rFonts w:hint="default" w:ascii="宋体" w:hAnsi="宋体" w:eastAsia="宋体" w:cs="Times New Roman"/>
                <w:kern w:val="0"/>
                <w:szCs w:val="21"/>
                <w:lang w:val="en-US" w:eastAsia="zh-CN"/>
              </w:rPr>
            </w:pPr>
            <w:r>
              <w:rPr>
                <w:rFonts w:ascii="宋体" w:hAnsi="宋体" w:eastAsia="宋体" w:cs="Times New Roman"/>
                <w:kern w:val="0"/>
                <w:szCs w:val="21"/>
              </w:rPr>
              <w:t>按收入性质分：</w:t>
            </w:r>
          </w:p>
        </w:tc>
        <w:tc>
          <w:tcPr>
            <w:tcW w:w="3200" w:type="dxa"/>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3940" w:type="dxa"/>
            <w:gridSpan w:val="2"/>
            <w:shd w:val="clear" w:color="auto" w:fill="auto"/>
            <w:vAlign w:val="center"/>
          </w:tcPr>
          <w:p>
            <w:pPr>
              <w:widowControl/>
              <w:ind w:firstLine="105" w:firstLineChars="50"/>
              <w:jc w:val="left"/>
              <w:rPr>
                <w:rFonts w:ascii="宋体" w:hAnsi="宋体" w:eastAsia="宋体" w:cs="Times New Roman"/>
                <w:kern w:val="0"/>
                <w:szCs w:val="21"/>
              </w:rPr>
            </w:pPr>
            <w:r>
              <w:rPr>
                <w:rFonts w:ascii="宋体" w:hAnsi="宋体" w:eastAsia="宋体" w:cs="Times New Roman"/>
                <w:kern w:val="0"/>
                <w:szCs w:val="21"/>
              </w:rPr>
              <w:t>其中：    公共财政拨款：</w:t>
            </w:r>
            <w:r>
              <w:rPr>
                <w:rFonts w:hint="eastAsia" w:ascii="宋体" w:hAnsi="宋体" w:eastAsia="宋体" w:cs="Times New Roman"/>
                <w:kern w:val="0"/>
                <w:szCs w:val="21"/>
                <w:lang w:val="en-US" w:eastAsia="zh-CN"/>
              </w:rPr>
              <w:t>321.60万元</w:t>
            </w:r>
          </w:p>
        </w:tc>
        <w:tc>
          <w:tcPr>
            <w:tcW w:w="3200" w:type="dxa"/>
            <w:shd w:val="clear" w:color="auto" w:fill="auto"/>
            <w:vAlign w:val="center"/>
          </w:tcPr>
          <w:p>
            <w:pPr>
              <w:widowControl/>
              <w:jc w:val="left"/>
              <w:rPr>
                <w:rFonts w:hint="default" w:ascii="宋体" w:hAnsi="宋体" w:eastAsia="宋体" w:cs="Times New Roman"/>
                <w:kern w:val="0"/>
                <w:szCs w:val="21"/>
                <w:lang w:val="en-US" w:eastAsia="zh-CN"/>
              </w:rPr>
            </w:pPr>
            <w:r>
              <w:rPr>
                <w:rFonts w:ascii="宋体" w:hAnsi="宋体" w:eastAsia="宋体" w:cs="Times New Roman"/>
                <w:kern w:val="0"/>
                <w:szCs w:val="21"/>
              </w:rPr>
              <w:t>其中： 基本支出：</w:t>
            </w:r>
            <w:r>
              <w:rPr>
                <w:rFonts w:hint="eastAsia" w:ascii="宋体" w:hAnsi="宋体" w:eastAsia="宋体" w:cs="Times New Roman"/>
                <w:kern w:val="0"/>
                <w:szCs w:val="21"/>
                <w:lang w:val="en-US" w:eastAsia="zh-CN"/>
              </w:rPr>
              <w:t>100.38万元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3940" w:type="dxa"/>
            <w:gridSpan w:val="2"/>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 xml:space="preserve">           政府性基金拨款：</w:t>
            </w:r>
          </w:p>
        </w:tc>
        <w:tc>
          <w:tcPr>
            <w:tcW w:w="3200" w:type="dxa"/>
            <w:shd w:val="clear" w:color="auto" w:fill="auto"/>
            <w:vAlign w:val="center"/>
          </w:tcPr>
          <w:p>
            <w:pPr>
              <w:widowControl/>
              <w:jc w:val="left"/>
              <w:rPr>
                <w:rFonts w:hint="default" w:ascii="宋体" w:hAnsi="宋体" w:eastAsia="宋体" w:cs="Times New Roman"/>
                <w:kern w:val="0"/>
                <w:szCs w:val="21"/>
                <w:lang w:val="en-US" w:eastAsia="zh-CN"/>
              </w:rPr>
            </w:pPr>
            <w:r>
              <w:rPr>
                <w:rFonts w:ascii="宋体" w:hAnsi="宋体" w:eastAsia="宋体" w:cs="Times New Roman"/>
                <w:kern w:val="0"/>
                <w:szCs w:val="21"/>
              </w:rPr>
              <w:t xml:space="preserve">       项目支出：</w:t>
            </w:r>
            <w:r>
              <w:rPr>
                <w:rFonts w:hint="eastAsia" w:ascii="宋体" w:hAnsi="宋体" w:eastAsia="宋体" w:cs="Times New Roman"/>
                <w:kern w:val="0"/>
                <w:szCs w:val="21"/>
                <w:lang w:val="en-US" w:eastAsia="zh-CN"/>
              </w:rPr>
              <w:t>221.22万元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3940" w:type="dxa"/>
            <w:gridSpan w:val="2"/>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纳入专户管理的非税收入拨款：</w:t>
            </w:r>
          </w:p>
        </w:tc>
        <w:tc>
          <w:tcPr>
            <w:tcW w:w="3200" w:type="dxa"/>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3940" w:type="dxa"/>
            <w:gridSpan w:val="2"/>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 xml:space="preserve">                  其他资金：</w:t>
            </w:r>
          </w:p>
        </w:tc>
        <w:tc>
          <w:tcPr>
            <w:tcW w:w="3200" w:type="dxa"/>
            <w:shd w:val="clear" w:color="auto" w:fill="auto"/>
            <w:vAlign w:val="center"/>
          </w:tcPr>
          <w:p>
            <w:pPr>
              <w:widowControl/>
              <w:jc w:val="lef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500"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部门职能</w:t>
            </w:r>
            <w:r>
              <w:rPr>
                <w:rFonts w:hint="eastAsia" w:ascii="宋体" w:hAnsi="宋体" w:eastAsia="宋体" w:cs="Times New Roman"/>
                <w:kern w:val="0"/>
                <w:szCs w:val="21"/>
              </w:rPr>
              <w:t>职责</w:t>
            </w:r>
            <w:r>
              <w:rPr>
                <w:rFonts w:ascii="宋体" w:hAnsi="宋体" w:eastAsia="宋体" w:cs="Times New Roman"/>
                <w:kern w:val="0"/>
                <w:szCs w:val="21"/>
              </w:rPr>
              <w:t>概述</w:t>
            </w:r>
          </w:p>
        </w:tc>
        <w:tc>
          <w:tcPr>
            <w:tcW w:w="7140" w:type="dxa"/>
            <w:gridSpan w:val="3"/>
            <w:shd w:val="clear" w:color="auto" w:fill="auto"/>
            <w:vAlign w:val="center"/>
          </w:tcPr>
          <w:p>
            <w:pPr>
              <w:widowControl/>
              <w:spacing w:line="600" w:lineRule="atLeast"/>
              <w:rPr>
                <w:rFonts w:ascii="宋体" w:hAnsi="宋体" w:eastAsia="宋体" w:cs="Times New Roman"/>
                <w:kern w:val="0"/>
                <w:szCs w:val="21"/>
              </w:rPr>
            </w:pPr>
            <w:r>
              <w:rPr>
                <w:rFonts w:hint="eastAsia" w:ascii="宋体" w:hAnsi="宋体" w:eastAsia="宋体" w:cs="Times New Roman"/>
                <w:kern w:val="0"/>
                <w:szCs w:val="21"/>
              </w:rPr>
              <w:t>湖南毛里湖国家湿地公园管理处为林业局管理的正科级事业单位，贯彻落实上级湿地保护相关工作</w:t>
            </w:r>
            <w:r>
              <w:rPr>
                <w:rFonts w:hint="eastAsia" w:ascii="宋体" w:hAnsi="宋体" w:eastAsia="宋体" w:cs="Times New Roman"/>
                <w:kern w:val="0"/>
                <w:szCs w:val="21"/>
                <w:lang w:eastAsia="zh-CN"/>
              </w:rPr>
              <w:t>、保护毛里湖湿地生态系统和国家珍稀动植物物种</w:t>
            </w:r>
            <w:r>
              <w:rPr>
                <w:rFonts w:hint="eastAsia" w:ascii="宋体" w:hAnsi="宋体" w:eastAsia="宋体" w:cs="Times New Roman"/>
                <w:kern w:val="0"/>
                <w:szCs w:val="21"/>
              </w:rPr>
              <w:t>，负责湿地公园规划，协调相关部门落实湿地公园建设、管理工作。</w:t>
            </w:r>
          </w:p>
          <w:p>
            <w:pPr>
              <w:widowControl/>
              <w:jc w:val="left"/>
              <w:rPr>
                <w:rFonts w:ascii="Calibri" w:hAnsi="Calibri"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2500"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整体绩效目标</w:t>
            </w:r>
          </w:p>
        </w:tc>
        <w:tc>
          <w:tcPr>
            <w:tcW w:w="7140" w:type="dxa"/>
            <w:gridSpan w:val="3"/>
            <w:shd w:val="clear" w:color="auto" w:fill="auto"/>
            <w:vAlign w:val="center"/>
          </w:tcPr>
          <w:p>
            <w:pPr>
              <w:spacing w:line="600" w:lineRule="exact"/>
              <w:rPr>
                <w:rFonts w:hint="eastAsia" w:ascii="宋体" w:hAnsi="宋体" w:eastAsia="宋体" w:cs="Times New Roman"/>
                <w:kern w:val="0"/>
                <w:szCs w:val="21"/>
              </w:rPr>
            </w:pPr>
            <w:r>
              <w:rPr>
                <w:rFonts w:ascii="Calibri" w:hAnsi="Calibri" w:eastAsia="宋体" w:cs="Times New Roman"/>
                <w:kern w:val="0"/>
                <w:szCs w:val="21"/>
              </w:rPr>
              <w:t>目标1：</w:t>
            </w:r>
            <w:r>
              <w:rPr>
                <w:rFonts w:hint="eastAsia" w:ascii="宋体" w:hAnsi="宋体" w:eastAsia="宋体" w:cs="Times New Roman"/>
                <w:kern w:val="0"/>
                <w:szCs w:val="21"/>
              </w:rPr>
              <w:t>争创国家级品牌（争创国家4A级生态旅游景区；国家重点建设湿地公园）</w:t>
            </w:r>
          </w:p>
          <w:p>
            <w:pPr>
              <w:spacing w:line="600" w:lineRule="exact"/>
              <w:rPr>
                <w:rFonts w:hint="eastAsia" w:ascii="宋体" w:hAnsi="宋体" w:eastAsia="宋体" w:cs="Times New Roman"/>
                <w:kern w:val="0"/>
                <w:szCs w:val="21"/>
              </w:rPr>
            </w:pPr>
            <w:r>
              <w:rPr>
                <w:rFonts w:ascii="Calibri" w:hAnsi="Calibri" w:eastAsia="宋体" w:cs="Times New Roman"/>
                <w:kern w:val="0"/>
                <w:szCs w:val="21"/>
              </w:rPr>
              <w:t>目标2：</w:t>
            </w:r>
            <w:r>
              <w:rPr>
                <w:rFonts w:hint="eastAsia" w:ascii="宋体" w:hAnsi="宋体" w:eastAsia="宋体" w:cs="Times New Roman"/>
                <w:kern w:val="0"/>
                <w:szCs w:val="21"/>
              </w:rPr>
              <w:t>抓公园生态保护；抓公园品牌形象宣传。</w:t>
            </w:r>
          </w:p>
          <w:p>
            <w:pPr>
              <w:widowControl/>
              <w:jc w:val="left"/>
              <w:rPr>
                <w:rFonts w:hint="default" w:ascii="Calibri" w:hAnsi="Calibri" w:eastAsia="宋体" w:cs="Times New Roman"/>
                <w:kern w:val="0"/>
                <w:szCs w:val="21"/>
                <w:lang w:val="en-US" w:eastAsia="zh-CN"/>
              </w:rPr>
            </w:pPr>
            <w:r>
              <w:rPr>
                <w:rFonts w:ascii="Calibri" w:hAnsi="Calibri" w:eastAsia="宋体" w:cs="Times New Roman"/>
                <w:kern w:val="0"/>
                <w:szCs w:val="21"/>
              </w:rPr>
              <w:br w:type="textWrapping"/>
            </w:r>
            <w:r>
              <w:rPr>
                <w:rFonts w:hint="eastAsia" w:ascii="Calibri" w:hAnsi="Calibri" w:eastAsia="宋体" w:cs="Times New Roman"/>
                <w:kern w:val="0"/>
                <w:szCs w:val="21"/>
                <w:lang w:eastAsia="zh-CN"/>
              </w:rPr>
              <w:t>目标</w:t>
            </w:r>
            <w:r>
              <w:rPr>
                <w:rFonts w:hint="eastAsia" w:ascii="Calibri" w:hAnsi="Calibri" w:eastAsia="宋体" w:cs="Times New Roman"/>
                <w:kern w:val="0"/>
                <w:szCs w:val="21"/>
                <w:lang w:val="en-US" w:eastAsia="zh-CN"/>
              </w:rPr>
              <w:t>3：</w:t>
            </w:r>
            <w:r>
              <w:rPr>
                <w:rFonts w:hint="eastAsia" w:ascii="宋体" w:hAnsi="宋体" w:eastAsia="宋体" w:cs="Times New Roman"/>
                <w:kern w:val="0"/>
                <w:szCs w:val="21"/>
              </w:rPr>
              <w:t>主攻专业规划修编；主攻招商引进；主攻项目建设。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500" w:type="dxa"/>
            <w:vMerge w:val="restart"/>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部门整体支出</w:t>
            </w:r>
          </w:p>
          <w:p>
            <w:pPr>
              <w:widowControl/>
              <w:jc w:val="center"/>
              <w:rPr>
                <w:rFonts w:ascii="宋体" w:hAnsi="宋体" w:eastAsia="宋体" w:cs="Times New Roman"/>
                <w:kern w:val="0"/>
                <w:szCs w:val="21"/>
              </w:rPr>
            </w:pPr>
            <w:r>
              <w:rPr>
                <w:rFonts w:ascii="宋体" w:hAnsi="宋体" w:eastAsia="宋体" w:cs="Times New Roman"/>
                <w:kern w:val="0"/>
                <w:szCs w:val="21"/>
              </w:rPr>
              <w:t>年度绩效指标</w:t>
            </w:r>
          </w:p>
        </w:tc>
        <w:tc>
          <w:tcPr>
            <w:tcW w:w="1200" w:type="dxa"/>
            <w:shd w:val="clear" w:color="auto" w:fill="auto"/>
            <w:vAlign w:val="center"/>
          </w:tcPr>
          <w:p>
            <w:pPr>
              <w:widowControl/>
              <w:jc w:val="center"/>
              <w:rPr>
                <w:rFonts w:ascii="Calibri" w:hAnsi="Calibri" w:eastAsia="宋体" w:cs="Times New Roman"/>
                <w:kern w:val="0"/>
                <w:szCs w:val="21"/>
              </w:rPr>
            </w:pPr>
            <w:r>
              <w:rPr>
                <w:rFonts w:ascii="Calibri" w:hAnsi="Calibri" w:eastAsia="宋体" w:cs="Times New Roman"/>
                <w:kern w:val="0"/>
                <w:szCs w:val="21"/>
              </w:rPr>
              <w:t>产出指标</w:t>
            </w:r>
          </w:p>
        </w:tc>
        <w:tc>
          <w:tcPr>
            <w:tcW w:w="5940" w:type="dxa"/>
            <w:gridSpan w:val="2"/>
            <w:shd w:val="clear" w:color="auto" w:fill="auto"/>
            <w:vAlign w:val="center"/>
          </w:tcPr>
          <w:p>
            <w:pPr>
              <w:rPr>
                <w:rFonts w:ascii="Calibri" w:hAnsi="Calibri" w:eastAsia="宋体" w:cs="Times New Roman"/>
                <w:kern w:val="0"/>
                <w:szCs w:val="21"/>
              </w:rPr>
            </w:pPr>
            <w:r>
              <w:rPr>
                <w:rFonts w:ascii="Calibri" w:hAnsi="Calibri" w:eastAsia="宋体" w:cs="Times New Roman"/>
                <w:kern w:val="0"/>
                <w:szCs w:val="21"/>
              </w:rPr>
              <w:t>指标1：</w:t>
            </w:r>
            <w:r>
              <w:rPr>
                <w:rFonts w:hint="eastAsia" w:ascii="Calibri" w:hAnsi="Calibri" w:eastAsia="宋体" w:cs="Times New Roman"/>
                <w:kern w:val="0"/>
                <w:szCs w:val="21"/>
              </w:rPr>
              <w:t>基本支出指标</w:t>
            </w:r>
            <w:r>
              <w:rPr>
                <w:rFonts w:ascii="Calibri" w:hAnsi="Calibri" w:eastAsia="宋体" w:cs="Times New Roman"/>
                <w:kern w:val="0"/>
                <w:szCs w:val="21"/>
              </w:rPr>
              <w:t>数为</w:t>
            </w:r>
            <w:r>
              <w:rPr>
                <w:rFonts w:hint="eastAsia" w:ascii="Calibri" w:hAnsi="Calibri" w:eastAsia="宋体" w:cs="Times New Roman"/>
                <w:kern w:val="0"/>
                <w:szCs w:val="21"/>
                <w:lang w:val="en-US" w:eastAsia="zh-CN"/>
              </w:rPr>
              <w:t>100.38</w:t>
            </w:r>
            <w:r>
              <w:rPr>
                <w:rFonts w:ascii="Calibri" w:hAnsi="Calibri" w:eastAsia="宋体" w:cs="Times New Roman"/>
                <w:kern w:val="0"/>
                <w:szCs w:val="21"/>
              </w:rPr>
              <w:t>万元，是指为保障单位机构正常运转、完成日常工作任务而发生的各项支出，包括用于基本工资、津贴补贴等人员经费以及办公费、印刷费、水电费、办公设备购置等日常公用经费。</w:t>
            </w:r>
          </w:p>
          <w:p>
            <w:pPr>
              <w:rPr>
                <w:rFonts w:ascii="Calibri" w:hAnsi="Calibri" w:eastAsia="宋体" w:cs="Times New Roman"/>
                <w:kern w:val="0"/>
                <w:szCs w:val="21"/>
              </w:rPr>
            </w:pPr>
            <w:r>
              <w:rPr>
                <w:rFonts w:ascii="Calibri" w:hAnsi="Calibri" w:eastAsia="宋体" w:cs="Times New Roman"/>
                <w:kern w:val="0"/>
                <w:szCs w:val="21"/>
              </w:rPr>
              <w:t>指标2：</w:t>
            </w:r>
            <w:r>
              <w:rPr>
                <w:rFonts w:hint="eastAsia" w:ascii="Calibri" w:hAnsi="Calibri" w:eastAsia="宋体" w:cs="Times New Roman"/>
                <w:kern w:val="0"/>
                <w:szCs w:val="21"/>
              </w:rPr>
              <w:t>项目支出指标</w:t>
            </w:r>
            <w:r>
              <w:rPr>
                <w:rFonts w:ascii="Calibri" w:hAnsi="Calibri" w:eastAsia="宋体" w:cs="Times New Roman"/>
                <w:kern w:val="0"/>
                <w:szCs w:val="21"/>
              </w:rPr>
              <w:t>数为</w:t>
            </w:r>
            <w:r>
              <w:rPr>
                <w:rFonts w:hint="eastAsia" w:ascii="Calibri" w:hAnsi="Calibri" w:eastAsia="宋体" w:cs="Times New Roman"/>
                <w:kern w:val="0"/>
                <w:szCs w:val="21"/>
                <w:lang w:val="en-US" w:eastAsia="zh-CN"/>
              </w:rPr>
              <w:t>221.22</w:t>
            </w:r>
            <w:r>
              <w:rPr>
                <w:rFonts w:ascii="Calibri" w:hAnsi="Calibri" w:eastAsia="宋体" w:cs="Times New Roman"/>
                <w:kern w:val="0"/>
                <w:szCs w:val="21"/>
              </w:rPr>
              <w:t>万元，是指单位为完成特定行政工作任务或事业发展目标而发生的支出，其中：业务工作专项支出</w:t>
            </w:r>
            <w:r>
              <w:rPr>
                <w:rFonts w:hint="eastAsia" w:ascii="Calibri" w:hAnsi="Calibri" w:eastAsia="宋体" w:cs="Times New Roman"/>
                <w:kern w:val="0"/>
                <w:szCs w:val="21"/>
                <w:lang w:val="en-US" w:eastAsia="zh-CN"/>
              </w:rPr>
              <w:t>67.46</w:t>
            </w:r>
            <w:r>
              <w:rPr>
                <w:rFonts w:hint="eastAsia" w:ascii="Calibri" w:hAnsi="Calibri" w:eastAsia="宋体" w:cs="Times New Roman"/>
                <w:kern w:val="0"/>
                <w:szCs w:val="21"/>
              </w:rPr>
              <w:t>6</w:t>
            </w:r>
            <w:r>
              <w:rPr>
                <w:rFonts w:ascii="Calibri" w:hAnsi="Calibri" w:eastAsia="宋体" w:cs="Times New Roman"/>
                <w:kern w:val="0"/>
                <w:szCs w:val="21"/>
              </w:rPr>
              <w:t>万元，主要</w:t>
            </w:r>
            <w:r>
              <w:rPr>
                <w:rFonts w:hint="eastAsia" w:ascii="Calibri" w:hAnsi="Calibri" w:eastAsia="宋体" w:cs="Times New Roman"/>
                <w:kern w:val="0"/>
                <w:szCs w:val="21"/>
              </w:rPr>
              <w:t>用于湿地公园土地流转费用；还有大野公司临聘人员工资劳务支出</w:t>
            </w:r>
            <w:r>
              <w:rPr>
                <w:rFonts w:hint="eastAsia" w:ascii="Calibri" w:hAnsi="Calibri" w:eastAsia="宋体" w:cs="Times New Roman"/>
                <w:kern w:val="0"/>
                <w:szCs w:val="21"/>
                <w:lang w:val="en-US" w:eastAsia="zh-CN"/>
              </w:rPr>
              <w:t>46.6</w:t>
            </w:r>
            <w:r>
              <w:rPr>
                <w:rFonts w:hint="eastAsia" w:ascii="Calibri" w:hAnsi="Calibri" w:eastAsia="宋体" w:cs="Times New Roman"/>
                <w:kern w:val="0"/>
                <w:szCs w:val="21"/>
              </w:rPr>
              <w:t>万元。</w:t>
            </w:r>
          </w:p>
          <w:p>
            <w:pPr>
              <w:rPr>
                <w:rFonts w:ascii="Calibri" w:hAnsi="Calibri"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500" w:type="dxa"/>
            <w:vMerge w:val="continue"/>
            <w:vAlign w:val="center"/>
          </w:tcPr>
          <w:p>
            <w:pPr>
              <w:widowControl/>
              <w:jc w:val="left"/>
              <w:rPr>
                <w:rFonts w:ascii="Calibri" w:hAnsi="Calibri" w:eastAsia="黑体" w:cs="Times New Roman"/>
                <w:kern w:val="0"/>
                <w:szCs w:val="21"/>
              </w:rPr>
            </w:pPr>
          </w:p>
        </w:tc>
        <w:tc>
          <w:tcPr>
            <w:tcW w:w="1200" w:type="dxa"/>
            <w:shd w:val="clear" w:color="auto" w:fill="auto"/>
            <w:vAlign w:val="center"/>
          </w:tcPr>
          <w:p>
            <w:pPr>
              <w:widowControl/>
              <w:jc w:val="center"/>
              <w:rPr>
                <w:rFonts w:ascii="Calibri" w:hAnsi="Calibri" w:eastAsia="宋体" w:cs="Times New Roman"/>
                <w:kern w:val="0"/>
                <w:szCs w:val="21"/>
              </w:rPr>
            </w:pPr>
            <w:r>
              <w:rPr>
                <w:rFonts w:ascii="Calibri" w:hAnsi="Calibri" w:eastAsia="宋体" w:cs="Times New Roman"/>
                <w:kern w:val="0"/>
                <w:szCs w:val="21"/>
              </w:rPr>
              <w:t>效益指标</w:t>
            </w:r>
          </w:p>
        </w:tc>
        <w:tc>
          <w:tcPr>
            <w:tcW w:w="5940" w:type="dxa"/>
            <w:gridSpan w:val="2"/>
            <w:shd w:val="clear" w:color="auto" w:fill="auto"/>
            <w:vAlign w:val="center"/>
          </w:tcPr>
          <w:p>
            <w:pPr>
              <w:rPr>
                <w:rFonts w:hint="eastAsia" w:ascii="Calibri" w:hAnsi="Calibri" w:eastAsia="宋体" w:cs="Times New Roman"/>
                <w:kern w:val="0"/>
                <w:szCs w:val="21"/>
                <w:lang w:eastAsia="zh-CN"/>
              </w:rPr>
            </w:pPr>
            <w:r>
              <w:rPr>
                <w:rFonts w:ascii="Calibri" w:hAnsi="Calibri" w:eastAsia="宋体" w:cs="Times New Roman"/>
                <w:kern w:val="0"/>
                <w:szCs w:val="21"/>
              </w:rPr>
              <w:t>指标1：</w:t>
            </w:r>
            <w:r>
              <w:rPr>
                <w:rFonts w:hint="eastAsia" w:ascii="Calibri" w:hAnsi="Calibri" w:eastAsia="宋体" w:cs="Times New Roman"/>
                <w:kern w:val="0"/>
                <w:szCs w:val="21"/>
                <w:lang w:eastAsia="zh-CN"/>
              </w:rPr>
              <w:t>加强</w:t>
            </w:r>
            <w:r>
              <w:rPr>
                <w:rFonts w:hint="eastAsia" w:ascii="Calibri" w:hAnsi="Calibri" w:eastAsia="宋体" w:cs="Times New Roman"/>
                <w:kern w:val="0"/>
                <w:szCs w:val="21"/>
              </w:rPr>
              <w:t>生态</w:t>
            </w:r>
            <w:r>
              <w:rPr>
                <w:rFonts w:hint="eastAsia" w:ascii="Calibri" w:hAnsi="Calibri" w:eastAsia="宋体" w:cs="Times New Roman"/>
                <w:kern w:val="0"/>
                <w:szCs w:val="21"/>
                <w:lang w:eastAsia="zh-CN"/>
              </w:rPr>
              <w:t>环境</w:t>
            </w:r>
            <w:r>
              <w:rPr>
                <w:rFonts w:hint="eastAsia" w:ascii="Calibri" w:hAnsi="Calibri" w:eastAsia="宋体" w:cs="Times New Roman"/>
                <w:kern w:val="0"/>
                <w:szCs w:val="21"/>
              </w:rPr>
              <w:t>保护升级</w:t>
            </w:r>
            <w:r>
              <w:rPr>
                <w:rFonts w:hint="eastAsia" w:ascii="Calibri" w:hAnsi="Calibri" w:eastAsia="宋体" w:cs="Times New Roman"/>
                <w:kern w:val="0"/>
                <w:szCs w:val="21"/>
                <w:lang w:eastAsia="zh-CN"/>
              </w:rPr>
              <w:t>，</w:t>
            </w:r>
            <w:r>
              <w:rPr>
                <w:rFonts w:hint="eastAsia" w:ascii="Calibri" w:hAnsi="Calibri" w:eastAsia="宋体" w:cs="Times New Roman"/>
                <w:kern w:val="0"/>
                <w:szCs w:val="21"/>
              </w:rPr>
              <w:t>坚持政府主导、部门联动的总体要求，强力推动禁投限养、拦网拦坝拆除和退养还湿、绿化造林等工程</w:t>
            </w:r>
            <w:r>
              <w:rPr>
                <w:rFonts w:hint="eastAsia" w:ascii="Calibri" w:hAnsi="Calibri" w:eastAsia="宋体" w:cs="Times New Roman"/>
                <w:kern w:val="0"/>
                <w:szCs w:val="21"/>
                <w:lang w:eastAsia="zh-CN"/>
              </w:rPr>
              <w:t>。</w:t>
            </w:r>
          </w:p>
          <w:p>
            <w:pPr>
              <w:rPr>
                <w:rFonts w:hint="eastAsia" w:ascii="Calibri" w:hAnsi="Calibri" w:eastAsia="宋体" w:cs="Times New Roman"/>
                <w:kern w:val="0"/>
                <w:szCs w:val="21"/>
                <w:lang w:eastAsia="zh-CN"/>
              </w:rPr>
            </w:pPr>
            <w:r>
              <w:rPr>
                <w:rFonts w:ascii="Calibri" w:hAnsi="Calibri" w:eastAsia="宋体" w:cs="Times New Roman"/>
                <w:kern w:val="0"/>
                <w:szCs w:val="21"/>
              </w:rPr>
              <w:t>指标2：</w:t>
            </w:r>
            <w:r>
              <w:rPr>
                <w:rFonts w:hint="eastAsia" w:ascii="Calibri" w:hAnsi="Calibri" w:eastAsia="宋体" w:cs="Times New Roman"/>
                <w:kern w:val="0"/>
                <w:szCs w:val="21"/>
              </w:rPr>
              <w:t>初步形成公园接待能力</w:t>
            </w:r>
            <w:r>
              <w:rPr>
                <w:rFonts w:hint="eastAsia" w:ascii="Calibri" w:hAnsi="Calibri" w:eastAsia="宋体" w:cs="Times New Roman"/>
                <w:kern w:val="0"/>
                <w:szCs w:val="21"/>
                <w:lang w:eastAsia="zh-CN"/>
              </w:rPr>
              <w:t>，</w:t>
            </w:r>
            <w:r>
              <w:rPr>
                <w:rFonts w:hint="eastAsia" w:ascii="Calibri" w:hAnsi="Calibri" w:eastAsia="宋体" w:cs="Times New Roman"/>
                <w:kern w:val="0"/>
                <w:szCs w:val="21"/>
              </w:rPr>
              <w:t>高标准完成接待中心装修</w:t>
            </w:r>
            <w:r>
              <w:rPr>
                <w:rFonts w:hint="eastAsia" w:ascii="Calibri" w:hAnsi="Calibri" w:eastAsia="宋体" w:cs="Times New Roman"/>
                <w:kern w:val="0"/>
                <w:szCs w:val="21"/>
                <w:lang w:eastAsia="zh-CN"/>
              </w:rPr>
              <w:t>扫尾工作，搞好设施设备调试，敲定运营方案</w:t>
            </w:r>
            <w:r>
              <w:rPr>
                <w:rFonts w:hint="eastAsia" w:ascii="Calibri" w:hAnsi="Calibri" w:eastAsia="宋体" w:cs="Times New Roman"/>
                <w:kern w:val="0"/>
                <w:szCs w:val="21"/>
              </w:rPr>
              <w:t>，</w:t>
            </w:r>
            <w:r>
              <w:rPr>
                <w:rFonts w:hint="eastAsia" w:ascii="Calibri" w:hAnsi="Calibri" w:eastAsia="宋体" w:cs="Times New Roman"/>
                <w:kern w:val="0"/>
                <w:szCs w:val="21"/>
                <w:lang w:eastAsia="zh-CN"/>
              </w:rPr>
              <w:t>积极备战小范围开园，确保</w:t>
            </w:r>
            <w:r>
              <w:rPr>
                <w:rFonts w:hint="eastAsia" w:ascii="Calibri" w:hAnsi="Calibri" w:eastAsia="宋体" w:cs="Times New Roman"/>
                <w:kern w:val="0"/>
                <w:szCs w:val="21"/>
                <w:lang w:val="en-US" w:eastAsia="zh-CN"/>
              </w:rPr>
              <w:t>10</w:t>
            </w:r>
            <w:r>
              <w:rPr>
                <w:rFonts w:hint="eastAsia" w:ascii="Calibri" w:hAnsi="Calibri" w:eastAsia="宋体" w:cs="Times New Roman"/>
                <w:kern w:val="0"/>
                <w:szCs w:val="21"/>
              </w:rPr>
              <w:t>月</w:t>
            </w:r>
            <w:r>
              <w:rPr>
                <w:rFonts w:hint="eastAsia" w:ascii="Calibri" w:hAnsi="Calibri" w:eastAsia="宋体" w:cs="Times New Roman"/>
                <w:kern w:val="0"/>
                <w:szCs w:val="21"/>
                <w:lang w:eastAsia="zh-CN"/>
              </w:rPr>
              <w:t>左右</w:t>
            </w:r>
            <w:r>
              <w:rPr>
                <w:rFonts w:hint="eastAsia" w:ascii="Calibri" w:hAnsi="Calibri" w:eastAsia="宋体" w:cs="Times New Roman"/>
                <w:kern w:val="0"/>
                <w:szCs w:val="21"/>
              </w:rPr>
              <w:t>初步具备接待能力。</w:t>
            </w:r>
          </w:p>
          <w:p>
            <w:pPr>
              <w:rPr>
                <w:rFonts w:hint="eastAsia" w:ascii="Calibri" w:hAnsi="Calibri" w:eastAsia="宋体" w:cs="Times New Roman"/>
                <w:kern w:val="0"/>
                <w:szCs w:val="21"/>
                <w:lang w:eastAsia="zh-CN"/>
              </w:rPr>
            </w:pPr>
            <w:r>
              <w:rPr>
                <w:rFonts w:ascii="Calibri" w:hAnsi="Calibri" w:eastAsia="宋体" w:cs="Times New Roman"/>
                <w:kern w:val="0"/>
                <w:szCs w:val="21"/>
              </w:rPr>
              <w:t>指标3：</w:t>
            </w:r>
            <w:r>
              <w:rPr>
                <w:rFonts w:hint="eastAsia" w:ascii="Calibri" w:hAnsi="Calibri" w:eastAsia="宋体" w:cs="Times New Roman"/>
                <w:kern w:val="0"/>
                <w:szCs w:val="21"/>
              </w:rPr>
              <w:t>落实</w:t>
            </w:r>
            <w:r>
              <w:rPr>
                <w:rFonts w:hint="eastAsia" w:ascii="Calibri" w:hAnsi="Calibri" w:eastAsia="宋体" w:cs="Times New Roman"/>
                <w:kern w:val="0"/>
                <w:szCs w:val="21"/>
                <w:lang w:eastAsia="zh-CN"/>
              </w:rPr>
              <w:t>毛里湖法开署</w:t>
            </w:r>
            <w:r>
              <w:rPr>
                <w:rFonts w:hint="eastAsia" w:ascii="Calibri" w:hAnsi="Calibri" w:eastAsia="宋体" w:cs="Times New Roman"/>
                <w:kern w:val="0"/>
                <w:szCs w:val="21"/>
              </w:rPr>
              <w:t>项目建设</w:t>
            </w:r>
            <w:r>
              <w:rPr>
                <w:rFonts w:hint="eastAsia" w:ascii="Calibri" w:hAnsi="Calibri" w:eastAsia="宋体" w:cs="Times New Roman"/>
                <w:kern w:val="0"/>
                <w:szCs w:val="21"/>
                <w:lang w:eastAsia="zh-CN"/>
              </w:rPr>
              <w:t>，积极跟进毛里湖国家湿地公园生物多样性保护与合理利用项目，按法国开发署安排的时间节点完成好各项具体工作，按时向法开署提交相关材料和走相关审批程序，争取在</w:t>
            </w:r>
            <w:r>
              <w:rPr>
                <w:rFonts w:hint="eastAsia" w:ascii="Calibri" w:hAnsi="Calibri" w:eastAsia="宋体" w:cs="Times New Roman"/>
                <w:kern w:val="0"/>
                <w:szCs w:val="21"/>
                <w:lang w:val="en-US" w:eastAsia="zh-CN"/>
              </w:rPr>
              <w:t>2019年7月与法开署签订贷款协议，促成项目尽早落地实施。加强大野公司建设，做实法开署项目的建设平台。</w:t>
            </w:r>
          </w:p>
          <w:p>
            <w:pPr>
              <w:rPr>
                <w:rFonts w:hint="eastAsia" w:ascii="Calibri" w:hAnsi="Calibri" w:eastAsia="宋体" w:cs="Times New Roman"/>
                <w:kern w:val="0"/>
                <w:szCs w:val="21"/>
                <w:lang w:val="en-US" w:eastAsia="zh-CN"/>
              </w:rPr>
            </w:pPr>
            <w:r>
              <w:rPr>
                <w:rFonts w:hint="eastAsia" w:ascii="Calibri" w:hAnsi="Calibri" w:eastAsia="宋体" w:cs="Times New Roman"/>
                <w:kern w:val="0"/>
                <w:szCs w:val="21"/>
                <w:lang w:eastAsia="zh-CN"/>
              </w:rPr>
              <w:t>指标4：</w:t>
            </w:r>
            <w:r>
              <w:rPr>
                <w:rFonts w:hint="eastAsia" w:ascii="Calibri" w:hAnsi="Calibri" w:eastAsia="宋体" w:cs="Times New Roman"/>
                <w:kern w:val="0"/>
                <w:szCs w:val="21"/>
                <w:lang w:val="en-US" w:eastAsia="zh-CN"/>
              </w:rPr>
              <w:t>加强队伍建设，积极创造条件，做好专业人才引进，摆脱依赖思想，主动出击，以提供专业实习、项目评估等多功能展示平台，真正走进高校、走进专业市场对接人才、挖掘人才、选聘人才。</w:t>
            </w:r>
          </w:p>
          <w:p>
            <w:pPr>
              <w:rPr>
                <w:rFonts w:hint="eastAsia" w:ascii="Calibri" w:hAnsi="Calibri" w:eastAsia="宋体" w:cs="Times New Roman"/>
                <w:kern w:val="0"/>
                <w:szCs w:val="21"/>
                <w:lang w:eastAsia="zh-CN"/>
              </w:rPr>
            </w:pPr>
          </w:p>
          <w:p>
            <w:pPr>
              <w:widowControl/>
              <w:rPr>
                <w:rFonts w:ascii="Calibri" w:hAnsi="Calibri" w:eastAsia="宋体" w:cs="Times New Roman"/>
                <w:kern w:val="0"/>
                <w:szCs w:val="21"/>
              </w:rPr>
            </w:pPr>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lang w:val="en-US" w:eastAsia="zh-CN"/>
        </w:rPr>
        <w:t xml:space="preserve">  </w:t>
      </w:r>
      <w:bookmarkStart w:id="2" w:name="_GoBack"/>
      <w:bookmarkEnd w:id="2"/>
      <w:r>
        <w:rPr>
          <w:rFonts w:hint="eastAsia" w:cs="黑体" w:asciiTheme="minorEastAsia" w:hAnsiTheme="minorEastAsia"/>
          <w:color w:val="000000"/>
          <w:kern w:val="0"/>
          <w:sz w:val="32"/>
          <w:szCs w:val="32"/>
        </w:rPr>
        <w:t>2020年7月7日</w:t>
      </w:r>
    </w:p>
    <w:p>
      <w:pPr>
        <w:ind w:firstLine="640" w:firstLineChars="200"/>
        <w:jc w:val="left"/>
        <w:rPr>
          <w:rFonts w:hint="default" w:cs="黑体" w:asciiTheme="minorEastAsia" w:hAnsiTheme="minorEastAsia" w:eastAsiaTheme="minorEastAsia"/>
          <w:color w:val="000000"/>
          <w:kern w:val="0"/>
          <w:sz w:val="32"/>
          <w:szCs w:val="32"/>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A140"/>
    <w:multiLevelType w:val="singleLevel"/>
    <w:tmpl w:val="08F7A140"/>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F72690"/>
    <w:rsid w:val="04A40F7D"/>
    <w:rsid w:val="08264DCD"/>
    <w:rsid w:val="087B0CF0"/>
    <w:rsid w:val="090C10F6"/>
    <w:rsid w:val="12122D0F"/>
    <w:rsid w:val="24DF4453"/>
    <w:rsid w:val="26E012BC"/>
    <w:rsid w:val="273E49EB"/>
    <w:rsid w:val="2FC663B2"/>
    <w:rsid w:val="30A91180"/>
    <w:rsid w:val="3B044F8B"/>
    <w:rsid w:val="3B360446"/>
    <w:rsid w:val="3B3651BE"/>
    <w:rsid w:val="3E3C37E1"/>
    <w:rsid w:val="43190B80"/>
    <w:rsid w:val="4BA53161"/>
    <w:rsid w:val="4C0934F0"/>
    <w:rsid w:val="4F420B3B"/>
    <w:rsid w:val="4F762D4E"/>
    <w:rsid w:val="53A311E3"/>
    <w:rsid w:val="58BA27E9"/>
    <w:rsid w:val="5AE74C26"/>
    <w:rsid w:val="6DA76D8F"/>
    <w:rsid w:val="7DC4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0</TotalTime>
  <ScaleCrop>false</ScaleCrop>
  <LinksUpToDate>false</LinksUpToDate>
  <CharactersWithSpaces>8418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2020-07-22T07:53:00Z</cp:lastPrinted>
  <dcterms:modified xsi:type="dcterms:W3CDTF">2020-07-22T08:52:28Z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